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03" w:rsidRPr="004B5C03" w:rsidRDefault="004B5C03" w:rsidP="00C718A6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B5C03">
        <w:rPr>
          <w:rFonts w:ascii="Times New Roman" w:hAnsi="Times New Roman" w:cs="Times New Roman"/>
          <w:b/>
          <w:sz w:val="36"/>
          <w:szCs w:val="36"/>
          <w:u w:val="single"/>
        </w:rPr>
        <w:t>Graduation Pathways Frequently Asked Questions</w:t>
      </w:r>
    </w:p>
    <w:p w:rsidR="004B5C03" w:rsidRPr="00D8731D" w:rsidRDefault="004B5C03" w:rsidP="00C718A6">
      <w:pPr>
        <w:tabs>
          <w:tab w:val="left" w:pos="2310"/>
        </w:tabs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3C6D" w:rsidRPr="004B5C03" w:rsidRDefault="00BC18CE" w:rsidP="00C718A6">
      <w:pPr>
        <w:tabs>
          <w:tab w:val="left" w:pos="2310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</w:t>
      </w:r>
      <w:r w:rsidR="005F50C3">
        <w:rPr>
          <w:rFonts w:ascii="Times New Roman" w:hAnsi="Times New Roman" w:cs="Times New Roman"/>
          <w:b/>
          <w:color w:val="0070C0"/>
          <w:sz w:val="28"/>
          <w:szCs w:val="28"/>
        </w:rPr>
        <w:t>is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purpose of the Graduation Pathways?</w:t>
      </w:r>
    </w:p>
    <w:p w:rsidR="00623C6D" w:rsidRPr="00EF19D4" w:rsidRDefault="00623C6D" w:rsidP="00C718A6">
      <w:pPr>
        <w:tabs>
          <w:tab w:val="left" w:pos="2310"/>
        </w:tabs>
        <w:jc w:val="both"/>
        <w:rPr>
          <w:color w:val="1F497D"/>
          <w:sz w:val="12"/>
          <w:szCs w:val="12"/>
        </w:rPr>
      </w:pPr>
    </w:p>
    <w:p w:rsidR="009A382F" w:rsidRDefault="00BC18CE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090E27">
        <w:rPr>
          <w:rFonts w:ascii="Times New Roman" w:hAnsi="Times New Roman" w:cs="Times New Roman"/>
          <w:sz w:val="24"/>
          <w:szCs w:val="24"/>
        </w:rPr>
        <w:t>The purpose of Graduation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Pathways </w:t>
      </w:r>
      <w:r w:rsidR="00C718A6">
        <w:rPr>
          <w:rFonts w:ascii="Times New Roman" w:hAnsi="Times New Roman" w:cs="Times New Roman"/>
          <w:sz w:val="24"/>
          <w:szCs w:val="24"/>
        </w:rPr>
        <w:t>is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="00623C6D" w:rsidRPr="004B5C03">
        <w:rPr>
          <w:rFonts w:ascii="Times New Roman" w:hAnsi="Times New Roman" w:cs="Times New Roman"/>
          <w:sz w:val="24"/>
          <w:szCs w:val="24"/>
        </w:rPr>
        <w:t>to ensure that every Hoosier student graduates from high school with</w:t>
      </w:r>
      <w:r w:rsidR="00F90C7C">
        <w:rPr>
          <w:rFonts w:ascii="Times New Roman" w:hAnsi="Times New Roman" w:cs="Times New Roman"/>
          <w:sz w:val="24"/>
          <w:szCs w:val="24"/>
        </w:rPr>
        <w:t>: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F" w:rsidRDefault="00623C6D" w:rsidP="00C718A6">
      <w:pPr>
        <w:tabs>
          <w:tab w:val="left" w:pos="2310"/>
        </w:tabs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1) </w:t>
      </w:r>
      <w:r w:rsidR="009A382F" w:rsidRPr="004B5C03">
        <w:rPr>
          <w:rFonts w:ascii="Times New Roman" w:hAnsi="Times New Roman" w:cs="Times New Roman"/>
          <w:sz w:val="24"/>
          <w:szCs w:val="24"/>
        </w:rPr>
        <w:t>A</w:t>
      </w:r>
      <w:r w:rsidRPr="004B5C03">
        <w:rPr>
          <w:rFonts w:ascii="Times New Roman" w:hAnsi="Times New Roman" w:cs="Times New Roman"/>
          <w:sz w:val="24"/>
          <w:szCs w:val="24"/>
        </w:rPr>
        <w:t xml:space="preserve"> broad awareness of and engagement with individual career interests and associated career options</w:t>
      </w:r>
      <w:r w:rsidR="00F30F3E">
        <w:rPr>
          <w:rFonts w:ascii="Times New Roman" w:hAnsi="Times New Roman" w:cs="Times New Roman"/>
          <w:sz w:val="24"/>
          <w:szCs w:val="24"/>
        </w:rPr>
        <w:t>;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F" w:rsidRDefault="00623C6D" w:rsidP="00C718A6">
      <w:pPr>
        <w:tabs>
          <w:tab w:val="left" w:pos="2310"/>
        </w:tabs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2) </w:t>
      </w:r>
      <w:r w:rsidR="009A382F" w:rsidRPr="004B5C03">
        <w:rPr>
          <w:rFonts w:ascii="Times New Roman" w:hAnsi="Times New Roman" w:cs="Times New Roman"/>
          <w:sz w:val="24"/>
          <w:szCs w:val="24"/>
        </w:rPr>
        <w:t>A</w:t>
      </w:r>
      <w:r w:rsidRPr="004B5C03">
        <w:rPr>
          <w:rFonts w:ascii="Times New Roman" w:hAnsi="Times New Roman" w:cs="Times New Roman"/>
          <w:sz w:val="24"/>
          <w:szCs w:val="24"/>
        </w:rPr>
        <w:t xml:space="preserve"> strong foundation of academic and technical skills</w:t>
      </w:r>
      <w:r w:rsidR="00F30F3E">
        <w:rPr>
          <w:rFonts w:ascii="Times New Roman" w:hAnsi="Times New Roman" w:cs="Times New Roman"/>
          <w:sz w:val="24"/>
          <w:szCs w:val="24"/>
        </w:rPr>
        <w:t>;</w:t>
      </w:r>
      <w:r w:rsidRPr="004B5C03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5F50C3" w:rsidRDefault="00623C6D" w:rsidP="00EF19D4">
      <w:pPr>
        <w:tabs>
          <w:tab w:val="left" w:pos="2310"/>
        </w:tabs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3) </w:t>
      </w:r>
      <w:r w:rsidR="009A382F" w:rsidRPr="004B5C03">
        <w:rPr>
          <w:rFonts w:ascii="Times New Roman" w:hAnsi="Times New Roman" w:cs="Times New Roman"/>
          <w:sz w:val="24"/>
          <w:szCs w:val="24"/>
        </w:rPr>
        <w:t>Demonstrable</w:t>
      </w:r>
      <w:r w:rsidRPr="004B5C03">
        <w:rPr>
          <w:rFonts w:ascii="Times New Roman" w:hAnsi="Times New Roman" w:cs="Times New Roman"/>
          <w:sz w:val="24"/>
          <w:szCs w:val="24"/>
        </w:rPr>
        <w:t xml:space="preserve"> employability skills that lead direc</w:t>
      </w:r>
      <w:r w:rsidR="00EF19D4">
        <w:rPr>
          <w:rFonts w:ascii="Times New Roman" w:hAnsi="Times New Roman" w:cs="Times New Roman"/>
          <w:sz w:val="24"/>
          <w:szCs w:val="24"/>
        </w:rPr>
        <w:t xml:space="preserve">tly to meaningful opportunities </w:t>
      </w:r>
      <w:r w:rsidRPr="004B5C03">
        <w:rPr>
          <w:rFonts w:ascii="Times New Roman" w:hAnsi="Times New Roman" w:cs="Times New Roman"/>
          <w:sz w:val="24"/>
          <w:szCs w:val="24"/>
        </w:rPr>
        <w:t>for postsecondary education, training, and gainful employment.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82F" w:rsidRPr="00EF19D4" w:rsidRDefault="009A382F" w:rsidP="00C718A6">
      <w:pPr>
        <w:tabs>
          <w:tab w:val="left" w:pos="2310"/>
        </w:tabs>
        <w:ind w:left="144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DA7450" w:rsidRDefault="00C718A6" w:rsidP="00C718A6">
      <w:pPr>
        <w:tabs>
          <w:tab w:val="left" w:pos="23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pathways provide schools </w:t>
      </w:r>
      <w:r w:rsidR="00EF19D4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flexibility </w:t>
      </w:r>
      <w:r w:rsidR="00EF19D4">
        <w:rPr>
          <w:rFonts w:ascii="Times New Roman" w:hAnsi="Times New Roman" w:cs="Times New Roman"/>
          <w:sz w:val="24"/>
          <w:szCs w:val="24"/>
        </w:rPr>
        <w:t>while expanding options for students to pursue</w:t>
      </w:r>
      <w:r>
        <w:rPr>
          <w:rFonts w:ascii="Times New Roman" w:hAnsi="Times New Roman" w:cs="Times New Roman"/>
          <w:sz w:val="24"/>
          <w:szCs w:val="24"/>
        </w:rPr>
        <w:t xml:space="preserve"> their educational and career interests and goals.  Specifically, t</w:t>
      </w:r>
      <w:r w:rsidR="00090E27" w:rsidRPr="00090E27">
        <w:rPr>
          <w:rFonts w:ascii="Times New Roman" w:hAnsi="Times New Roman" w:cs="Times New Roman"/>
          <w:sz w:val="24"/>
          <w:szCs w:val="24"/>
        </w:rPr>
        <w:t>he pathways move from a one-size-fits-</w:t>
      </w:r>
      <w:r w:rsidR="00EF19D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approach where </w:t>
      </w:r>
      <w:r w:rsidR="00EF19D4">
        <w:rPr>
          <w:rFonts w:ascii="Times New Roman" w:hAnsi="Times New Roman" w:cs="Times New Roman"/>
          <w:sz w:val="24"/>
          <w:szCs w:val="24"/>
        </w:rPr>
        <w:t>earning a diploma</w:t>
      </w:r>
      <w:r>
        <w:rPr>
          <w:rFonts w:ascii="Times New Roman" w:hAnsi="Times New Roman" w:cs="Times New Roman"/>
          <w:sz w:val="24"/>
          <w:szCs w:val="24"/>
        </w:rPr>
        <w:t xml:space="preserve"> was dependent on passing graduation qualifying exams</w:t>
      </w:r>
      <w:r w:rsidR="00EF19D4">
        <w:rPr>
          <w:rFonts w:ascii="Times New Roman" w:hAnsi="Times New Roman" w:cs="Times New Roman"/>
          <w:sz w:val="24"/>
          <w:szCs w:val="24"/>
        </w:rPr>
        <w:t xml:space="preserve">. Instead, Graduation Pathways </w:t>
      </w:r>
      <w:r w:rsidR="001F1CD3">
        <w:rPr>
          <w:rFonts w:ascii="Times New Roman" w:hAnsi="Times New Roman" w:cs="Times New Roman"/>
          <w:sz w:val="24"/>
          <w:szCs w:val="24"/>
        </w:rPr>
        <w:t xml:space="preserve">will </w:t>
      </w:r>
      <w:r w:rsidR="00EF19D4">
        <w:rPr>
          <w:rFonts w:ascii="Times New Roman" w:hAnsi="Times New Roman" w:cs="Times New Roman"/>
          <w:sz w:val="24"/>
          <w:szCs w:val="24"/>
        </w:rPr>
        <w:t>allow</w:t>
      </w:r>
      <w:r w:rsidR="005F50C3">
        <w:rPr>
          <w:rFonts w:ascii="Times New Roman" w:hAnsi="Times New Roman" w:cs="Times New Roman"/>
          <w:sz w:val="24"/>
          <w:szCs w:val="24"/>
        </w:rPr>
        <w:t xml:space="preserve"> </w:t>
      </w:r>
      <w:r w:rsidR="006B40CC">
        <w:rPr>
          <w:rFonts w:ascii="Times New Roman" w:hAnsi="Times New Roman" w:cs="Times New Roman"/>
          <w:sz w:val="24"/>
          <w:szCs w:val="24"/>
        </w:rPr>
        <w:t>all</w:t>
      </w:r>
      <w:r w:rsidR="005F50C3">
        <w:rPr>
          <w:rFonts w:ascii="Times New Roman" w:hAnsi="Times New Roman" w:cs="Times New Roman"/>
          <w:sz w:val="24"/>
          <w:szCs w:val="24"/>
        </w:rPr>
        <w:t xml:space="preserve"> student</w:t>
      </w:r>
      <w:r w:rsidR="006B40CC">
        <w:rPr>
          <w:rFonts w:ascii="Times New Roman" w:hAnsi="Times New Roman" w:cs="Times New Roman"/>
          <w:sz w:val="24"/>
          <w:szCs w:val="24"/>
        </w:rPr>
        <w:t>s</w:t>
      </w:r>
      <w:r w:rsidR="005F50C3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</w:rPr>
        <w:t xml:space="preserve">to select from </w:t>
      </w: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="00F30F3E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27" w:rsidRPr="00090E27">
        <w:rPr>
          <w:rFonts w:ascii="Times New Roman" w:hAnsi="Times New Roman" w:cs="Times New Roman"/>
          <w:sz w:val="24"/>
          <w:szCs w:val="24"/>
        </w:rPr>
        <w:t>to graduat</w:t>
      </w:r>
      <w:r w:rsidR="00F30F3E">
        <w:rPr>
          <w:rFonts w:ascii="Times New Roman" w:hAnsi="Times New Roman" w:cs="Times New Roman"/>
          <w:sz w:val="24"/>
          <w:szCs w:val="24"/>
        </w:rPr>
        <w:t>e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 that </w:t>
      </w:r>
      <w:r w:rsidR="00EF19D4">
        <w:rPr>
          <w:rFonts w:ascii="Times New Roman" w:hAnsi="Times New Roman" w:cs="Times New Roman"/>
          <w:sz w:val="24"/>
          <w:szCs w:val="24"/>
        </w:rPr>
        <w:t>align</w:t>
      </w:r>
      <w:r w:rsidR="00F30F3E">
        <w:rPr>
          <w:rFonts w:ascii="Times New Roman" w:hAnsi="Times New Roman" w:cs="Times New Roman"/>
          <w:sz w:val="24"/>
          <w:szCs w:val="24"/>
        </w:rPr>
        <w:t xml:space="preserve"> with</w:t>
      </w:r>
      <w:r w:rsidR="00EF19D4">
        <w:rPr>
          <w:rFonts w:ascii="Times New Roman" w:hAnsi="Times New Roman" w:cs="Times New Roman"/>
          <w:sz w:val="24"/>
          <w:szCs w:val="24"/>
        </w:rPr>
        <w:t xml:space="preserve"> their strengths and interests while </w:t>
      </w:r>
      <w:r>
        <w:rPr>
          <w:rFonts w:ascii="Times New Roman" w:hAnsi="Times New Roman" w:cs="Times New Roman"/>
          <w:sz w:val="24"/>
          <w:szCs w:val="24"/>
        </w:rPr>
        <w:t>further</w:t>
      </w:r>
      <w:r w:rsidR="00EF19D4">
        <w:rPr>
          <w:rFonts w:ascii="Times New Roman" w:hAnsi="Times New Roman" w:cs="Times New Roman"/>
          <w:sz w:val="24"/>
          <w:szCs w:val="24"/>
        </w:rPr>
        <w:t>ing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 xml:space="preserve">career 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goals </w:t>
      </w:r>
      <w:r w:rsidR="00EF19D4">
        <w:rPr>
          <w:rFonts w:ascii="Times New Roman" w:hAnsi="Times New Roman" w:cs="Times New Roman"/>
          <w:sz w:val="24"/>
          <w:szCs w:val="24"/>
        </w:rPr>
        <w:t>and skills</w:t>
      </w:r>
      <w:r w:rsidR="00090E27" w:rsidRPr="00090E27">
        <w:rPr>
          <w:rFonts w:ascii="Times New Roman" w:hAnsi="Times New Roman" w:cs="Times New Roman"/>
          <w:sz w:val="24"/>
          <w:szCs w:val="24"/>
        </w:rPr>
        <w:t>.</w:t>
      </w:r>
      <w:r w:rsidR="00DA7450">
        <w:rPr>
          <w:rFonts w:ascii="Times New Roman" w:hAnsi="Times New Roman" w:cs="Times New Roman"/>
          <w:sz w:val="24"/>
          <w:szCs w:val="24"/>
        </w:rPr>
        <w:t xml:space="preserve"> </w:t>
      </w:r>
      <w:r w:rsidR="00EF19D4">
        <w:rPr>
          <w:rFonts w:ascii="Times New Roman" w:hAnsi="Times New Roman" w:cs="Times New Roman"/>
          <w:sz w:val="24"/>
          <w:szCs w:val="24"/>
        </w:rPr>
        <w:t>These P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athways </w:t>
      </w:r>
      <w:r>
        <w:rPr>
          <w:rFonts w:ascii="Times New Roman" w:hAnsi="Times New Roman" w:cs="Times New Roman"/>
          <w:sz w:val="24"/>
          <w:szCs w:val="24"/>
        </w:rPr>
        <w:t>encourage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 </w:t>
      </w:r>
      <w:r w:rsidR="00EF19D4">
        <w:rPr>
          <w:rFonts w:ascii="Times New Roman" w:hAnsi="Times New Roman" w:cs="Times New Roman"/>
          <w:sz w:val="24"/>
          <w:szCs w:val="24"/>
        </w:rPr>
        <w:t>relevancy and student engagement while maximizing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individualized options to meet every student’s unique </w:t>
      </w:r>
      <w:r>
        <w:rPr>
          <w:rFonts w:ascii="Times New Roman" w:hAnsi="Times New Roman" w:cs="Times New Roman"/>
          <w:sz w:val="24"/>
          <w:szCs w:val="24"/>
        </w:rPr>
        <w:t>goals and needs</w:t>
      </w:r>
      <w:r w:rsidR="00DA7450" w:rsidRPr="00994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E27" w:rsidRPr="00EF19D4" w:rsidRDefault="00090E27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090E27" w:rsidRPr="00090E27" w:rsidRDefault="00090E27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0E27">
        <w:rPr>
          <w:rFonts w:ascii="Times New Roman" w:hAnsi="Times New Roman" w:cs="Times New Roman"/>
          <w:sz w:val="24"/>
          <w:szCs w:val="24"/>
        </w:rPr>
        <w:t>Becaus</w:t>
      </w:r>
      <w:r w:rsidR="005F50C3">
        <w:rPr>
          <w:rFonts w:ascii="Times New Roman" w:hAnsi="Times New Roman" w:cs="Times New Roman"/>
          <w:sz w:val="24"/>
          <w:szCs w:val="24"/>
        </w:rPr>
        <w:t xml:space="preserve">e students will get to select </w:t>
      </w:r>
      <w:r w:rsidR="00EF19D4">
        <w:rPr>
          <w:rFonts w:ascii="Times New Roman" w:hAnsi="Times New Roman" w:cs="Times New Roman"/>
          <w:sz w:val="24"/>
          <w:szCs w:val="24"/>
        </w:rPr>
        <w:t>from options that best align</w:t>
      </w:r>
      <w:r w:rsidRPr="00090E27">
        <w:rPr>
          <w:rFonts w:ascii="Times New Roman" w:hAnsi="Times New Roman" w:cs="Times New Roman"/>
          <w:sz w:val="24"/>
          <w:szCs w:val="24"/>
        </w:rPr>
        <w:t xml:space="preserve"> </w:t>
      </w:r>
      <w:r w:rsidR="00EF19D4">
        <w:rPr>
          <w:rFonts w:ascii="Times New Roman" w:hAnsi="Times New Roman" w:cs="Times New Roman"/>
          <w:sz w:val="24"/>
          <w:szCs w:val="24"/>
        </w:rPr>
        <w:t>to their postsecondary goals</w:t>
      </w:r>
      <w:r w:rsidR="00C644CF">
        <w:rPr>
          <w:rFonts w:ascii="Times New Roman" w:hAnsi="Times New Roman" w:cs="Times New Roman"/>
          <w:sz w:val="24"/>
          <w:szCs w:val="24"/>
        </w:rPr>
        <w:t>,</w:t>
      </w:r>
      <w:r w:rsidRPr="00090E27">
        <w:rPr>
          <w:rFonts w:ascii="Times New Roman" w:hAnsi="Times New Roman" w:cs="Times New Roman"/>
          <w:sz w:val="24"/>
          <w:szCs w:val="24"/>
        </w:rPr>
        <w:t xml:space="preserve"> their high school experience </w:t>
      </w:r>
      <w:r w:rsidR="001F1CD3">
        <w:rPr>
          <w:rFonts w:ascii="Times New Roman" w:hAnsi="Times New Roman" w:cs="Times New Roman"/>
          <w:sz w:val="24"/>
          <w:szCs w:val="24"/>
        </w:rPr>
        <w:t>will be</w:t>
      </w:r>
      <w:r w:rsidRPr="00090E27">
        <w:rPr>
          <w:rFonts w:ascii="Times New Roman" w:hAnsi="Times New Roman" w:cs="Times New Roman"/>
          <w:sz w:val="24"/>
          <w:szCs w:val="24"/>
        </w:rPr>
        <w:t xml:space="preserve"> more </w:t>
      </w:r>
      <w:r w:rsidR="00F30F3E">
        <w:rPr>
          <w:rFonts w:ascii="Times New Roman" w:hAnsi="Times New Roman" w:cs="Times New Roman"/>
          <w:sz w:val="24"/>
          <w:szCs w:val="24"/>
        </w:rPr>
        <w:t>engaging</w:t>
      </w:r>
      <w:r w:rsidRPr="00090E27">
        <w:rPr>
          <w:rFonts w:ascii="Times New Roman" w:hAnsi="Times New Roman" w:cs="Times New Roman"/>
          <w:sz w:val="24"/>
          <w:szCs w:val="24"/>
        </w:rPr>
        <w:t xml:space="preserve"> to them personally. Additionally, the pathways give students something of value and meaning to help them succeed in the next step along their personal journey—whether </w:t>
      </w:r>
      <w:r w:rsidR="00EF19D4">
        <w:rPr>
          <w:rFonts w:ascii="Times New Roman" w:hAnsi="Times New Roman" w:cs="Times New Roman"/>
          <w:sz w:val="24"/>
          <w:szCs w:val="24"/>
        </w:rPr>
        <w:t>it is continuing their</w:t>
      </w:r>
      <w:r w:rsidRPr="00090E27">
        <w:rPr>
          <w:rFonts w:ascii="Times New Roman" w:hAnsi="Times New Roman" w:cs="Times New Roman"/>
          <w:sz w:val="24"/>
          <w:szCs w:val="24"/>
        </w:rPr>
        <w:t xml:space="preserve"> education and training</w:t>
      </w:r>
      <w:r w:rsidR="00DA7450">
        <w:rPr>
          <w:rFonts w:ascii="Times New Roman" w:hAnsi="Times New Roman" w:cs="Times New Roman"/>
          <w:sz w:val="24"/>
          <w:szCs w:val="24"/>
        </w:rPr>
        <w:t xml:space="preserve">, </w:t>
      </w:r>
      <w:r w:rsidR="00EF19D4">
        <w:rPr>
          <w:rFonts w:ascii="Times New Roman" w:hAnsi="Times New Roman" w:cs="Times New Roman"/>
          <w:sz w:val="24"/>
          <w:szCs w:val="24"/>
        </w:rPr>
        <w:t>enlisting in the military</w:t>
      </w:r>
      <w:r w:rsidR="00DA7450">
        <w:rPr>
          <w:rFonts w:ascii="Times New Roman" w:hAnsi="Times New Roman" w:cs="Times New Roman"/>
          <w:sz w:val="24"/>
          <w:szCs w:val="24"/>
        </w:rPr>
        <w:t>,</w:t>
      </w:r>
      <w:r w:rsidRPr="00090E27">
        <w:rPr>
          <w:rFonts w:ascii="Times New Roman" w:hAnsi="Times New Roman" w:cs="Times New Roman"/>
          <w:sz w:val="24"/>
          <w:szCs w:val="24"/>
        </w:rPr>
        <w:t xml:space="preserve"> or </w:t>
      </w:r>
      <w:r w:rsidR="00DA7450">
        <w:rPr>
          <w:rFonts w:ascii="Times New Roman" w:hAnsi="Times New Roman" w:cs="Times New Roman"/>
          <w:sz w:val="24"/>
          <w:szCs w:val="24"/>
        </w:rPr>
        <w:t>entering the workforce</w:t>
      </w:r>
      <w:r w:rsidRPr="00090E27">
        <w:rPr>
          <w:rFonts w:ascii="Times New Roman" w:hAnsi="Times New Roman" w:cs="Times New Roman"/>
          <w:sz w:val="24"/>
          <w:szCs w:val="24"/>
        </w:rPr>
        <w:t>.</w:t>
      </w:r>
      <w:r w:rsidR="00EF19D4">
        <w:rPr>
          <w:rFonts w:ascii="Times New Roman" w:hAnsi="Times New Roman" w:cs="Times New Roman"/>
          <w:sz w:val="24"/>
          <w:szCs w:val="24"/>
        </w:rPr>
        <w:t xml:space="preserve"> Every student’s unique pathway and postsecondary aspiration </w:t>
      </w:r>
      <w:r w:rsidR="001F1CD3">
        <w:rPr>
          <w:rFonts w:ascii="Times New Roman" w:hAnsi="Times New Roman" w:cs="Times New Roman"/>
          <w:sz w:val="24"/>
          <w:szCs w:val="24"/>
        </w:rPr>
        <w:t>will be</w:t>
      </w:r>
      <w:r w:rsidR="00EF19D4">
        <w:rPr>
          <w:rFonts w:ascii="Times New Roman" w:hAnsi="Times New Roman" w:cs="Times New Roman"/>
          <w:sz w:val="24"/>
          <w:szCs w:val="24"/>
        </w:rPr>
        <w:t xml:space="preserve"> valued and respected within these new requirements.</w:t>
      </w:r>
    </w:p>
    <w:p w:rsidR="00623C6D" w:rsidRPr="00D8731D" w:rsidRDefault="00623C6D" w:rsidP="00C718A6">
      <w:pPr>
        <w:tabs>
          <w:tab w:val="left" w:pos="2310"/>
        </w:tabs>
        <w:jc w:val="both"/>
        <w:rPr>
          <w:color w:val="1F497D"/>
          <w:sz w:val="24"/>
          <w:szCs w:val="24"/>
        </w:rPr>
      </w:pPr>
    </w:p>
    <w:p w:rsidR="00623C6D" w:rsidRPr="004B5C03" w:rsidRDefault="000A5610" w:rsidP="00C718A6">
      <w:pPr>
        <w:tabs>
          <w:tab w:val="left" w:pos="2310"/>
        </w:tabs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B2FA8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What does a student need to do to graduat</w:t>
      </w:r>
      <w:r w:rsidR="005F50C3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FB2FA8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from high school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  <w:r w:rsidR="00623C6D" w:rsidRPr="004B5C03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</w:p>
    <w:p w:rsidR="00623C6D" w:rsidRPr="00EF19D4" w:rsidRDefault="00623C6D" w:rsidP="00C718A6">
      <w:pPr>
        <w:tabs>
          <w:tab w:val="left" w:pos="2310"/>
        </w:tabs>
        <w:jc w:val="both"/>
        <w:rPr>
          <w:color w:val="1F497D"/>
          <w:sz w:val="12"/>
          <w:szCs w:val="12"/>
        </w:rPr>
      </w:pPr>
    </w:p>
    <w:p w:rsidR="00623C6D" w:rsidRPr="004B5C03" w:rsidRDefault="00BC18CE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C12834">
        <w:rPr>
          <w:rFonts w:ascii="Times New Roman" w:hAnsi="Times New Roman" w:cs="Times New Roman"/>
          <w:sz w:val="24"/>
          <w:szCs w:val="24"/>
        </w:rPr>
        <w:t>B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eginning with the </w:t>
      </w:r>
      <w:r w:rsidR="0085738D" w:rsidRPr="00ED15B9">
        <w:rPr>
          <w:rFonts w:ascii="Times New Roman" w:hAnsi="Times New Roman" w:cs="Times New Roman"/>
          <w:sz w:val="24"/>
          <w:szCs w:val="24"/>
        </w:rPr>
        <w:t>graduating class of 2023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, </w:t>
      </w:r>
      <w:r w:rsidR="00C12834">
        <w:rPr>
          <w:rFonts w:ascii="Times New Roman" w:hAnsi="Times New Roman" w:cs="Times New Roman"/>
          <w:sz w:val="24"/>
          <w:szCs w:val="24"/>
        </w:rPr>
        <w:t xml:space="preserve">Indiana high schools students 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must satisfy </w:t>
      </w:r>
      <w:r w:rsidR="00623C6D" w:rsidRPr="00542931">
        <w:rPr>
          <w:rFonts w:ascii="Times New Roman" w:hAnsi="Times New Roman" w:cs="Times New Roman"/>
          <w:sz w:val="24"/>
          <w:szCs w:val="24"/>
          <w:u w:val="single"/>
        </w:rPr>
        <w:t>all three</w:t>
      </w:r>
      <w:r w:rsidR="00623C6D" w:rsidRPr="004B5C03">
        <w:rPr>
          <w:rFonts w:ascii="Times New Roman" w:hAnsi="Times New Roman" w:cs="Times New Roman"/>
          <w:sz w:val="24"/>
          <w:szCs w:val="24"/>
        </w:rPr>
        <w:t xml:space="preserve"> of the following Graduation Requirements:</w:t>
      </w:r>
    </w:p>
    <w:p w:rsidR="00FB2FA8" w:rsidRPr="00EF19D4" w:rsidRDefault="00FB2FA8" w:rsidP="00C718A6">
      <w:pPr>
        <w:tabs>
          <w:tab w:val="left" w:pos="231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FB2FA8" w:rsidRPr="004B5C03" w:rsidRDefault="005F50C3" w:rsidP="00C718A6">
      <w:pPr>
        <w:pStyle w:val="ListParagraph"/>
        <w:numPr>
          <w:ilvl w:val="0"/>
          <w:numId w:val="1"/>
        </w:numPr>
        <w:tabs>
          <w:tab w:val="left" w:pos="144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 H</w:t>
      </w:r>
      <w:r w:rsidR="00FB2FA8" w:rsidRPr="004B5C03">
        <w:rPr>
          <w:rFonts w:ascii="Times New Roman" w:hAnsi="Times New Roman" w:cs="Times New Roman"/>
          <w:sz w:val="24"/>
          <w:szCs w:val="24"/>
        </w:rPr>
        <w:t>igh School Diploma</w:t>
      </w:r>
      <w:r w:rsidR="00F30F3E">
        <w:rPr>
          <w:rFonts w:ascii="Times New Roman" w:hAnsi="Times New Roman" w:cs="Times New Roman"/>
          <w:sz w:val="24"/>
          <w:szCs w:val="24"/>
        </w:rPr>
        <w:t>;</w:t>
      </w:r>
    </w:p>
    <w:p w:rsidR="006B40CC" w:rsidRDefault="00FB2FA8" w:rsidP="00C718A6">
      <w:pPr>
        <w:pStyle w:val="ListParagraph"/>
        <w:numPr>
          <w:ilvl w:val="0"/>
          <w:numId w:val="1"/>
        </w:numPr>
        <w:tabs>
          <w:tab w:val="left" w:pos="144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Learn and Demonstrate Employability Skills</w:t>
      </w:r>
      <w:r w:rsidR="00F30F3E">
        <w:rPr>
          <w:rFonts w:ascii="Times New Roman" w:hAnsi="Times New Roman" w:cs="Times New Roman"/>
          <w:sz w:val="24"/>
          <w:szCs w:val="24"/>
        </w:rPr>
        <w:t>;</w:t>
      </w:r>
    </w:p>
    <w:p w:rsidR="00FB2FA8" w:rsidRPr="004B5C03" w:rsidRDefault="002B2F40" w:rsidP="006B40CC">
      <w:pPr>
        <w:pStyle w:val="ListParagraph"/>
        <w:tabs>
          <w:tab w:val="left" w:pos="144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2931">
        <w:rPr>
          <w:rFonts w:ascii="Times New Roman" w:hAnsi="Times New Roman" w:cs="Times New Roman"/>
          <w:i/>
          <w:sz w:val="24"/>
          <w:szCs w:val="24"/>
        </w:rPr>
        <w:t>AND</w:t>
      </w:r>
    </w:p>
    <w:p w:rsidR="00FB2FA8" w:rsidRDefault="000704A2" w:rsidP="00C718A6">
      <w:pPr>
        <w:pStyle w:val="ListParagraph"/>
        <w:numPr>
          <w:ilvl w:val="0"/>
          <w:numId w:val="1"/>
        </w:numPr>
        <w:tabs>
          <w:tab w:val="left" w:pos="144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="005F50C3">
        <w:rPr>
          <w:rFonts w:ascii="Times New Roman" w:hAnsi="Times New Roman" w:cs="Times New Roman"/>
          <w:sz w:val="24"/>
          <w:szCs w:val="24"/>
        </w:rPr>
        <w:t xml:space="preserve"> Postsecondary-Ready Competenc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5F50C3">
        <w:rPr>
          <w:rFonts w:ascii="Times New Roman" w:hAnsi="Times New Roman" w:cs="Times New Roman"/>
          <w:sz w:val="24"/>
          <w:szCs w:val="24"/>
        </w:rPr>
        <w:t>.</w:t>
      </w:r>
    </w:p>
    <w:p w:rsidR="00623C6D" w:rsidRPr="00D8731D" w:rsidRDefault="00623C6D" w:rsidP="00C718A6">
      <w:pPr>
        <w:jc w:val="both"/>
        <w:rPr>
          <w:color w:val="1F497D"/>
          <w:sz w:val="24"/>
          <w:szCs w:val="24"/>
        </w:rPr>
      </w:pPr>
    </w:p>
    <w:p w:rsidR="00623C6D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B2FA8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What does that mean exactly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</w:p>
    <w:p w:rsidR="00FB2FA8" w:rsidRPr="00EF19D4" w:rsidRDefault="00FB2FA8" w:rsidP="00C718A6">
      <w:pPr>
        <w:jc w:val="both"/>
        <w:rPr>
          <w:color w:val="1F497D"/>
          <w:sz w:val="12"/>
          <w:szCs w:val="12"/>
        </w:rPr>
      </w:pPr>
    </w:p>
    <w:p w:rsidR="000A5610" w:rsidRDefault="000A5610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To </w:t>
      </w:r>
      <w:r w:rsidR="00D108E1">
        <w:rPr>
          <w:rFonts w:ascii="Times New Roman" w:hAnsi="Times New Roman" w:cs="Times New Roman"/>
          <w:sz w:val="24"/>
          <w:szCs w:val="24"/>
        </w:rPr>
        <w:t>graduate high school</w:t>
      </w:r>
      <w:r w:rsidR="004242E3">
        <w:rPr>
          <w:rFonts w:ascii="Times New Roman" w:hAnsi="Times New Roman" w:cs="Times New Roman"/>
          <w:sz w:val="24"/>
          <w:szCs w:val="24"/>
        </w:rPr>
        <w:t>,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a student must meet the statutorily defined diploma credit and curricular requirements.</w:t>
      </w:r>
      <w:r>
        <w:rPr>
          <w:rFonts w:ascii="Times New Roman" w:hAnsi="Times New Roman" w:cs="Times New Roman"/>
          <w:sz w:val="24"/>
          <w:szCs w:val="24"/>
        </w:rPr>
        <w:t xml:space="preserve">  This includes the:</w:t>
      </w:r>
    </w:p>
    <w:p w:rsidR="00FB2FA8" w:rsidRDefault="006B40CC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</w:t>
      </w:r>
      <w:r w:rsidR="000A5610">
        <w:rPr>
          <w:rFonts w:ascii="Times New Roman" w:hAnsi="Times New Roman" w:cs="Times New Roman"/>
          <w:sz w:val="24"/>
          <w:szCs w:val="24"/>
        </w:rPr>
        <w:t>iploma;</w:t>
      </w:r>
    </w:p>
    <w:p w:rsidR="000A5610" w:rsidRDefault="006B40CC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40 D</w:t>
      </w:r>
      <w:r w:rsidR="000A5610">
        <w:rPr>
          <w:rFonts w:ascii="Times New Roman" w:hAnsi="Times New Roman" w:cs="Times New Roman"/>
          <w:sz w:val="24"/>
          <w:szCs w:val="24"/>
        </w:rPr>
        <w:t>iploma</w:t>
      </w:r>
      <w:r w:rsidR="00C90335">
        <w:rPr>
          <w:rFonts w:ascii="Times New Roman" w:hAnsi="Times New Roman" w:cs="Times New Roman"/>
          <w:sz w:val="24"/>
          <w:szCs w:val="24"/>
        </w:rPr>
        <w:t>;</w:t>
      </w:r>
    </w:p>
    <w:p w:rsidR="000A5610" w:rsidRDefault="006B40CC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Honors D</w:t>
      </w:r>
      <w:r w:rsidR="000A5610">
        <w:rPr>
          <w:rFonts w:ascii="Times New Roman" w:hAnsi="Times New Roman" w:cs="Times New Roman"/>
          <w:sz w:val="24"/>
          <w:szCs w:val="24"/>
        </w:rPr>
        <w:t xml:space="preserve">iploma; </w:t>
      </w:r>
      <w:r w:rsidR="00F30F3E">
        <w:rPr>
          <w:rFonts w:ascii="Times New Roman" w:hAnsi="Times New Roman" w:cs="Times New Roman"/>
          <w:sz w:val="24"/>
          <w:szCs w:val="24"/>
        </w:rPr>
        <w:t>OR</w:t>
      </w:r>
    </w:p>
    <w:p w:rsidR="000A5610" w:rsidRPr="000A5610" w:rsidRDefault="000A5610" w:rsidP="00D108E1">
      <w:pPr>
        <w:pStyle w:val="ListParagraph"/>
        <w:numPr>
          <w:ilvl w:val="0"/>
          <w:numId w:val="7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6B40C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onors </w:t>
      </w:r>
      <w:r w:rsidR="006B40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iploma.</w:t>
      </w:r>
    </w:p>
    <w:p w:rsidR="00FB2FA8" w:rsidRPr="004B5C03" w:rsidRDefault="00FB2FA8" w:rsidP="00C718A6">
      <w:pPr>
        <w:tabs>
          <w:tab w:val="left" w:pos="11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lastRenderedPageBreak/>
        <w:t xml:space="preserve">To learn and demonstrate </w:t>
      </w:r>
      <w:r w:rsidRPr="00F30F3E">
        <w:rPr>
          <w:rFonts w:ascii="Times New Roman" w:hAnsi="Times New Roman" w:cs="Times New Roman"/>
          <w:i/>
          <w:sz w:val="24"/>
          <w:szCs w:val="24"/>
        </w:rPr>
        <w:t>employability skills</w:t>
      </w:r>
      <w:r w:rsidR="000704A2">
        <w:rPr>
          <w:rFonts w:ascii="Times New Roman" w:hAnsi="Times New Roman" w:cs="Times New Roman"/>
          <w:sz w:val="24"/>
          <w:szCs w:val="24"/>
        </w:rPr>
        <w:t>,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a student must fulfill </w:t>
      </w:r>
      <w:r w:rsidR="002F582D" w:rsidRPr="000A5610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Pr="004B5C03">
        <w:rPr>
          <w:rFonts w:ascii="Times New Roman" w:hAnsi="Times New Roman" w:cs="Times New Roman"/>
          <w:sz w:val="24"/>
          <w:szCs w:val="24"/>
        </w:rPr>
        <w:t>:</w:t>
      </w:r>
    </w:p>
    <w:p w:rsidR="000A5610" w:rsidRDefault="000A5610" w:rsidP="00D108E1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a </w:t>
      </w:r>
      <w:r w:rsidR="00FB2FA8" w:rsidRPr="00F30F3E">
        <w:rPr>
          <w:rFonts w:ascii="Times New Roman" w:hAnsi="Times New Roman" w:cs="Times New Roman"/>
          <w:i/>
          <w:sz w:val="24"/>
          <w:szCs w:val="24"/>
        </w:rPr>
        <w:t>project-based learning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0A5610" w:rsidRDefault="006B40CC" w:rsidP="00D108E1">
      <w:pPr>
        <w:pStyle w:val="ListParagraph"/>
        <w:numPr>
          <w:ilvl w:val="1"/>
          <w:numId w:val="2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include</w:t>
      </w:r>
      <w:r w:rsidR="00FB2FA8" w:rsidRPr="000A5610">
        <w:rPr>
          <w:rFonts w:ascii="Times New Roman" w:hAnsi="Times New Roman" w:cs="Times New Roman"/>
          <w:sz w:val="24"/>
          <w:szCs w:val="24"/>
        </w:rPr>
        <w:t xml:space="preserve"> completion of a course capstone, co</w:t>
      </w:r>
      <w:r w:rsidR="005F50C3">
        <w:rPr>
          <w:rFonts w:ascii="Times New Roman" w:hAnsi="Times New Roman" w:cs="Times New Roman"/>
          <w:sz w:val="24"/>
          <w:szCs w:val="24"/>
        </w:rPr>
        <w:t>mpletion of a research project</w:t>
      </w:r>
      <w:r w:rsidR="00FB2FA8" w:rsidRPr="000A5610">
        <w:rPr>
          <w:rFonts w:ascii="Times New Roman" w:hAnsi="Times New Roman" w:cs="Times New Roman"/>
          <w:sz w:val="24"/>
          <w:szCs w:val="24"/>
        </w:rPr>
        <w:t>, completion of the AP Capstone Assessment, or other school options that have been appro</w:t>
      </w:r>
      <w:r w:rsidR="005F50C3">
        <w:rPr>
          <w:rFonts w:ascii="Times New Roman" w:hAnsi="Times New Roman" w:cs="Times New Roman"/>
          <w:sz w:val="24"/>
          <w:szCs w:val="24"/>
        </w:rPr>
        <w:t xml:space="preserve">ved </w:t>
      </w:r>
      <w:r w:rsidR="00840D62">
        <w:rPr>
          <w:rFonts w:ascii="Times New Roman" w:hAnsi="Times New Roman" w:cs="Times New Roman"/>
          <w:sz w:val="24"/>
          <w:szCs w:val="24"/>
        </w:rPr>
        <w:t xml:space="preserve">by </w:t>
      </w:r>
      <w:r w:rsidR="005F50C3">
        <w:rPr>
          <w:rFonts w:ascii="Times New Roman" w:hAnsi="Times New Roman" w:cs="Times New Roman"/>
          <w:sz w:val="24"/>
          <w:szCs w:val="24"/>
        </w:rPr>
        <w:t>the Indiana State Board of E</w:t>
      </w:r>
      <w:r w:rsidR="00FB2FA8" w:rsidRPr="000A5610">
        <w:rPr>
          <w:rFonts w:ascii="Times New Roman" w:hAnsi="Times New Roman" w:cs="Times New Roman"/>
          <w:sz w:val="24"/>
          <w:szCs w:val="24"/>
        </w:rPr>
        <w:t>ducation</w:t>
      </w:r>
      <w:r w:rsidR="002F582D" w:rsidRPr="000A56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FA8" w:rsidRPr="00EF19D4" w:rsidRDefault="002F582D" w:rsidP="00C718A6">
      <w:pPr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>OR</w:t>
      </w:r>
    </w:p>
    <w:p w:rsidR="000A5610" w:rsidRDefault="000A5610" w:rsidP="00D108E1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a </w:t>
      </w:r>
      <w:r w:rsidR="00FB2FA8" w:rsidRPr="00F30F3E">
        <w:rPr>
          <w:rFonts w:ascii="Times New Roman" w:hAnsi="Times New Roman" w:cs="Times New Roman"/>
          <w:i/>
          <w:sz w:val="24"/>
          <w:szCs w:val="24"/>
        </w:rPr>
        <w:t>servi</w:t>
      </w:r>
      <w:r w:rsidRPr="00F30F3E">
        <w:rPr>
          <w:rFonts w:ascii="Times New Roman" w:hAnsi="Times New Roman" w:cs="Times New Roman"/>
          <w:i/>
          <w:sz w:val="24"/>
          <w:szCs w:val="24"/>
        </w:rPr>
        <w:t>ce-based learning</w:t>
      </w:r>
      <w:r>
        <w:rPr>
          <w:rFonts w:ascii="Times New Roman" w:hAnsi="Times New Roman" w:cs="Times New Roman"/>
          <w:sz w:val="24"/>
          <w:szCs w:val="24"/>
        </w:rPr>
        <w:t xml:space="preserve"> experience </w:t>
      </w:r>
    </w:p>
    <w:p w:rsidR="000A5610" w:rsidRDefault="006B40CC" w:rsidP="00D108E1">
      <w:pPr>
        <w:pStyle w:val="ListParagraph"/>
        <w:numPr>
          <w:ilvl w:val="1"/>
          <w:numId w:val="2"/>
        </w:numPr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include </w:t>
      </w:r>
      <w:r w:rsidR="00FB2FA8" w:rsidRPr="004B5C03">
        <w:rPr>
          <w:rFonts w:ascii="Times New Roman" w:hAnsi="Times New Roman" w:cs="Times New Roman"/>
          <w:sz w:val="24"/>
          <w:szCs w:val="24"/>
        </w:rPr>
        <w:t>participation in a meaningful volunteer or civic engagement experience, engagement in a school-based activity, such as a co-curricular or extracurricular activity or sport for at least one academic year, or other school options that have been appro</w:t>
      </w:r>
      <w:r w:rsidR="005F50C3">
        <w:rPr>
          <w:rFonts w:ascii="Times New Roman" w:hAnsi="Times New Roman" w:cs="Times New Roman"/>
          <w:sz w:val="24"/>
          <w:szCs w:val="24"/>
        </w:rPr>
        <w:t xml:space="preserve">ved </w:t>
      </w:r>
      <w:r w:rsidR="00840D62">
        <w:rPr>
          <w:rFonts w:ascii="Times New Roman" w:hAnsi="Times New Roman" w:cs="Times New Roman"/>
          <w:sz w:val="24"/>
          <w:szCs w:val="24"/>
        </w:rPr>
        <w:t xml:space="preserve">by </w:t>
      </w:r>
      <w:r w:rsidR="005F50C3">
        <w:rPr>
          <w:rFonts w:ascii="Times New Roman" w:hAnsi="Times New Roman" w:cs="Times New Roman"/>
          <w:sz w:val="24"/>
          <w:szCs w:val="24"/>
        </w:rPr>
        <w:t>the Indiana State Board of E</w:t>
      </w:r>
      <w:r w:rsidR="00FB2FA8" w:rsidRPr="004B5C03">
        <w:rPr>
          <w:rFonts w:ascii="Times New Roman" w:hAnsi="Times New Roman" w:cs="Times New Roman"/>
          <w:sz w:val="24"/>
          <w:szCs w:val="24"/>
        </w:rPr>
        <w:t>ducation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2FA8" w:rsidRPr="00EF19D4" w:rsidRDefault="002F582D" w:rsidP="00C718A6">
      <w:pPr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>OR</w:t>
      </w:r>
    </w:p>
    <w:p w:rsidR="000A5610" w:rsidRDefault="000A5610" w:rsidP="00D108E1">
      <w:pPr>
        <w:pStyle w:val="ListParagraph"/>
        <w:numPr>
          <w:ilvl w:val="0"/>
          <w:numId w:val="2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</w:t>
      </w:r>
      <w:r w:rsidR="00F90C7C">
        <w:rPr>
          <w:rFonts w:ascii="Times New Roman" w:hAnsi="Times New Roman" w:cs="Times New Roman"/>
          <w:sz w:val="24"/>
          <w:szCs w:val="24"/>
        </w:rPr>
        <w:t xml:space="preserve"> </w:t>
      </w:r>
      <w:r w:rsidR="00FB2FA8" w:rsidRPr="00F30F3E">
        <w:rPr>
          <w:rFonts w:ascii="Times New Roman" w:hAnsi="Times New Roman" w:cs="Times New Roman"/>
          <w:i/>
          <w:sz w:val="24"/>
          <w:szCs w:val="24"/>
        </w:rPr>
        <w:t>work-based learning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 experience </w:t>
      </w:r>
    </w:p>
    <w:p w:rsidR="00FB2FA8" w:rsidRPr="004B5C03" w:rsidRDefault="006B40CC" w:rsidP="00D108E1">
      <w:pPr>
        <w:pStyle w:val="ListParagraph"/>
        <w:numPr>
          <w:ilvl w:val="1"/>
          <w:numId w:val="2"/>
        </w:numPr>
        <w:tabs>
          <w:tab w:val="left" w:pos="1890"/>
        </w:tabs>
        <w:ind w:left="18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include</w:t>
      </w:r>
      <w:r w:rsidRPr="000A5610">
        <w:rPr>
          <w:rFonts w:ascii="Times New Roman" w:hAnsi="Times New Roman" w:cs="Times New Roman"/>
          <w:sz w:val="24"/>
          <w:szCs w:val="24"/>
        </w:rPr>
        <w:t xml:space="preserve"> </w:t>
      </w:r>
      <w:r w:rsidR="002F582D" w:rsidRPr="004B5C03">
        <w:rPr>
          <w:rFonts w:ascii="Times New Roman" w:hAnsi="Times New Roman" w:cs="Times New Roman"/>
          <w:sz w:val="24"/>
          <w:szCs w:val="24"/>
        </w:rPr>
        <w:t>completion of a course capstone</w:t>
      </w:r>
      <w:r w:rsidR="005F50C3">
        <w:rPr>
          <w:rFonts w:ascii="Times New Roman" w:hAnsi="Times New Roman" w:cs="Times New Roman"/>
          <w:sz w:val="24"/>
          <w:szCs w:val="24"/>
        </w:rPr>
        <w:t>,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c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ompletion of an internship, </w:t>
      </w:r>
      <w:r w:rsidR="002F582D" w:rsidRPr="004B5C03">
        <w:rPr>
          <w:rFonts w:ascii="Times New Roman" w:hAnsi="Times New Roman" w:cs="Times New Roman"/>
          <w:sz w:val="24"/>
          <w:szCs w:val="24"/>
        </w:rPr>
        <w:t>o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btaining the Governor’s Work Ethic Certificate, </w:t>
      </w:r>
      <w:r w:rsidR="002F582D" w:rsidRPr="004B5C03">
        <w:rPr>
          <w:rFonts w:ascii="Times New Roman" w:hAnsi="Times New Roman" w:cs="Times New Roman"/>
          <w:sz w:val="24"/>
          <w:szCs w:val="24"/>
        </w:rPr>
        <w:t>e</w:t>
      </w:r>
      <w:r w:rsidR="00FB2FA8" w:rsidRPr="004B5C03">
        <w:rPr>
          <w:rFonts w:ascii="Times New Roman" w:hAnsi="Times New Roman" w:cs="Times New Roman"/>
          <w:sz w:val="24"/>
          <w:szCs w:val="24"/>
        </w:rPr>
        <w:t xml:space="preserve">mployment outside of the school day, </w:t>
      </w:r>
      <w:r w:rsidR="002F582D" w:rsidRPr="004B5C03">
        <w:rPr>
          <w:rFonts w:ascii="Times New Roman" w:hAnsi="Times New Roman" w:cs="Times New Roman"/>
          <w:sz w:val="24"/>
          <w:szCs w:val="24"/>
        </w:rPr>
        <w:t>or other school options that have been appro</w:t>
      </w:r>
      <w:r w:rsidR="005F50C3">
        <w:rPr>
          <w:rFonts w:ascii="Times New Roman" w:hAnsi="Times New Roman" w:cs="Times New Roman"/>
          <w:sz w:val="24"/>
          <w:szCs w:val="24"/>
        </w:rPr>
        <w:t>ved</w:t>
      </w:r>
      <w:r w:rsidR="00840D62">
        <w:rPr>
          <w:rFonts w:ascii="Times New Roman" w:hAnsi="Times New Roman" w:cs="Times New Roman"/>
          <w:sz w:val="24"/>
          <w:szCs w:val="24"/>
        </w:rPr>
        <w:t xml:space="preserve"> by</w:t>
      </w:r>
      <w:r w:rsidR="005F50C3">
        <w:rPr>
          <w:rFonts w:ascii="Times New Roman" w:hAnsi="Times New Roman" w:cs="Times New Roman"/>
          <w:sz w:val="24"/>
          <w:szCs w:val="24"/>
        </w:rPr>
        <w:t xml:space="preserve"> the Indiana State Board of E</w:t>
      </w:r>
      <w:r w:rsidR="002F582D" w:rsidRPr="004B5C03">
        <w:rPr>
          <w:rFonts w:ascii="Times New Roman" w:hAnsi="Times New Roman" w:cs="Times New Roman"/>
          <w:sz w:val="24"/>
          <w:szCs w:val="24"/>
        </w:rPr>
        <w:t>ducation</w:t>
      </w:r>
      <w:r w:rsidR="00FB2FA8" w:rsidRPr="004B5C03">
        <w:rPr>
          <w:rFonts w:ascii="Times New Roman" w:hAnsi="Times New Roman" w:cs="Times New Roman"/>
          <w:sz w:val="24"/>
          <w:szCs w:val="24"/>
        </w:rPr>
        <w:t>.</w:t>
      </w:r>
    </w:p>
    <w:p w:rsidR="002F582D" w:rsidRPr="00EF19D4" w:rsidRDefault="002F582D" w:rsidP="00C718A6">
      <w:pPr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2F582D" w:rsidRPr="004B5C03" w:rsidRDefault="002F582D" w:rsidP="00C718A6">
      <w:pPr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To demonstrate </w:t>
      </w:r>
      <w:r w:rsidRPr="00F30F3E">
        <w:rPr>
          <w:rFonts w:ascii="Times New Roman" w:hAnsi="Times New Roman" w:cs="Times New Roman"/>
          <w:i/>
          <w:sz w:val="24"/>
          <w:szCs w:val="24"/>
        </w:rPr>
        <w:t>postsecondary-ready competencies</w:t>
      </w:r>
      <w:r w:rsidRPr="004B5C03">
        <w:rPr>
          <w:rFonts w:ascii="Times New Roman" w:hAnsi="Times New Roman" w:cs="Times New Roman"/>
          <w:sz w:val="24"/>
          <w:szCs w:val="24"/>
        </w:rPr>
        <w:t xml:space="preserve"> a student must fulfill</w:t>
      </w:r>
      <w:r w:rsidR="0085738D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4B5C03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:rsidR="000A5610" w:rsidRDefault="000A5610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onors diploma: Fulfill all requirements of either the Academic or Technical Honors diploma; </w:t>
      </w:r>
    </w:p>
    <w:p w:rsidR="002F582D" w:rsidRPr="00EF19D4" w:rsidRDefault="002F582D" w:rsidP="007D0C42">
      <w:pPr>
        <w:pStyle w:val="ListParagraph"/>
        <w:ind w:left="1530" w:firstLine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ACT: </w:t>
      </w:r>
      <w:r w:rsidR="000A5610">
        <w:rPr>
          <w:rFonts w:ascii="Times New Roman" w:hAnsi="Times New Roman" w:cs="Times New Roman"/>
          <w:sz w:val="24"/>
          <w:szCs w:val="24"/>
        </w:rPr>
        <w:t>Earn the college-ready benchmark scores</w:t>
      </w:r>
      <w:r w:rsidRPr="004B5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0A5610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SAT: Earn the c</w:t>
      </w:r>
      <w:r w:rsidR="002F582D" w:rsidRPr="004B5C03">
        <w:rPr>
          <w:rFonts w:ascii="Times New Roman" w:hAnsi="Times New Roman" w:cs="Times New Roman"/>
          <w:sz w:val="24"/>
          <w:szCs w:val="24"/>
        </w:rPr>
        <w:t>ollege-ready benchmarks</w:t>
      </w:r>
      <w:r>
        <w:rPr>
          <w:rFonts w:ascii="Times New Roman" w:hAnsi="Times New Roman" w:cs="Times New Roman"/>
          <w:sz w:val="24"/>
          <w:szCs w:val="24"/>
        </w:rPr>
        <w:t xml:space="preserve"> scores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82D" w:rsidRPr="00EF19D4" w:rsidRDefault="002F582D" w:rsidP="007D0C42">
      <w:pPr>
        <w:pStyle w:val="ListParagraph"/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8A4ED0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A7450">
        <w:rPr>
          <w:rFonts w:ascii="Times New Roman" w:eastAsia="Times New Roman" w:hAnsi="Times New Roman" w:cs="Times New Roman"/>
          <w:sz w:val="24"/>
          <w:szCs w:val="24"/>
        </w:rPr>
        <w:t>Armed Servi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ces Vocational Aptitude Battery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F582D" w:rsidRPr="004B5C03">
        <w:rPr>
          <w:rFonts w:ascii="Times New Roman" w:hAnsi="Times New Roman" w:cs="Times New Roman"/>
          <w:sz w:val="24"/>
          <w:szCs w:val="24"/>
        </w:rPr>
        <w:t>ASVAB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: Earn at least a </w:t>
      </w:r>
      <w:r w:rsidR="002F582D" w:rsidRPr="00F30F3E">
        <w:rPr>
          <w:rFonts w:ascii="Times New Roman" w:hAnsi="Times New Roman" w:cs="Times New Roman"/>
          <w:i/>
          <w:sz w:val="24"/>
          <w:szCs w:val="24"/>
        </w:rPr>
        <w:t>minimum</w:t>
      </w:r>
      <w:r w:rsidR="002F582D" w:rsidRPr="004B5C03">
        <w:rPr>
          <w:rFonts w:ascii="Times New Roman" w:hAnsi="Times New Roman" w:cs="Times New Roman"/>
          <w:sz w:val="24"/>
          <w:szCs w:val="24"/>
        </w:rPr>
        <w:t xml:space="preserve"> </w:t>
      </w:r>
      <w:r w:rsidR="005F50C3" w:rsidRPr="00DA7450">
        <w:rPr>
          <w:rFonts w:ascii="Times New Roman" w:eastAsia="Times New Roman" w:hAnsi="Times New Roman" w:cs="Times New Roman"/>
          <w:sz w:val="24"/>
          <w:szCs w:val="24"/>
        </w:rPr>
        <w:t>Armed Forces Qualification Test</w:t>
      </w:r>
      <w:r w:rsidR="005F50C3" w:rsidRPr="005F50C3">
        <w:rPr>
          <w:rFonts w:ascii="Times New Roman" w:eastAsia="Times New Roman" w:hAnsi="Times New Roman" w:cs="Times New Roman"/>
          <w:sz w:val="24"/>
          <w:szCs w:val="24"/>
        </w:rPr>
        <w:t xml:space="preserve"> (AFQT)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82D" w:rsidRPr="005F50C3">
        <w:rPr>
          <w:rFonts w:ascii="Times New Roman" w:hAnsi="Times New Roman" w:cs="Times New Roman"/>
          <w:sz w:val="24"/>
          <w:szCs w:val="24"/>
        </w:rPr>
        <w:t xml:space="preserve">score to qualify for placement into one of the branches of the US military;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State- and Industry-recognized Credential or Certification; </w:t>
      </w:r>
    </w:p>
    <w:p w:rsidR="002F582D" w:rsidRPr="00EF19D4" w:rsidRDefault="002F582D" w:rsidP="007D0C42">
      <w:pPr>
        <w:pStyle w:val="ListParagraph"/>
        <w:tabs>
          <w:tab w:val="left" w:pos="1710"/>
        </w:tabs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State-, Federal-, or Industry-recognized Apprenticeship;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Career-Technical Education Concentrator: </w:t>
      </w:r>
      <w:r w:rsidR="000A5610">
        <w:rPr>
          <w:rFonts w:ascii="Times New Roman" w:hAnsi="Times New Roman" w:cs="Times New Roman"/>
          <w:sz w:val="24"/>
          <w:szCs w:val="24"/>
        </w:rPr>
        <w:t>E</w:t>
      </w:r>
      <w:r w:rsidRPr="004B5C03">
        <w:rPr>
          <w:rFonts w:ascii="Times New Roman" w:hAnsi="Times New Roman" w:cs="Times New Roman"/>
          <w:sz w:val="24"/>
          <w:szCs w:val="24"/>
        </w:rPr>
        <w:t xml:space="preserve">arn a C average or higher in at least </w:t>
      </w:r>
      <w:r w:rsidR="007D0C42" w:rsidRPr="00F30F3E">
        <w:rPr>
          <w:rFonts w:ascii="Times New Roman" w:hAnsi="Times New Roman" w:cs="Times New Roman"/>
          <w:i/>
          <w:sz w:val="24"/>
          <w:szCs w:val="24"/>
        </w:rPr>
        <w:t>six</w:t>
      </w:r>
      <w:r w:rsidR="007D0C42">
        <w:rPr>
          <w:rFonts w:ascii="Times New Roman" w:hAnsi="Times New Roman" w:cs="Times New Roman"/>
          <w:sz w:val="24"/>
          <w:szCs w:val="24"/>
        </w:rPr>
        <w:t xml:space="preserve"> (</w:t>
      </w:r>
      <w:r w:rsidRPr="004B5C03">
        <w:rPr>
          <w:rFonts w:ascii="Times New Roman" w:hAnsi="Times New Roman" w:cs="Times New Roman"/>
          <w:sz w:val="24"/>
          <w:szCs w:val="24"/>
        </w:rPr>
        <w:t>6</w:t>
      </w:r>
      <w:r w:rsidR="007D0C42">
        <w:rPr>
          <w:rFonts w:ascii="Times New Roman" w:hAnsi="Times New Roman" w:cs="Times New Roman"/>
          <w:sz w:val="24"/>
          <w:szCs w:val="24"/>
        </w:rPr>
        <w:t>)</w:t>
      </w:r>
      <w:r w:rsidRPr="004B5C03">
        <w:rPr>
          <w:rFonts w:ascii="Times New Roman" w:hAnsi="Times New Roman" w:cs="Times New Roman"/>
          <w:sz w:val="24"/>
          <w:szCs w:val="24"/>
        </w:rPr>
        <w:t xml:space="preserve"> high school credits in a career sequence;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0A5610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AP/I</w:t>
      </w:r>
      <w:r w:rsidR="007D0C42"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4B5C03">
        <w:rPr>
          <w:rFonts w:ascii="Times New Roman" w:hAnsi="Times New Roman" w:cs="Times New Roman"/>
          <w:sz w:val="24"/>
          <w:szCs w:val="24"/>
        </w:rPr>
        <w:t>B</w:t>
      </w:r>
      <w:r w:rsidR="007D0C42">
        <w:rPr>
          <w:rFonts w:ascii="Times New Roman" w:hAnsi="Times New Roman" w:cs="Times New Roman"/>
          <w:sz w:val="24"/>
          <w:szCs w:val="24"/>
        </w:rPr>
        <w:t>accalaureate</w:t>
      </w:r>
      <w:r w:rsidRPr="004B5C03">
        <w:rPr>
          <w:rFonts w:ascii="Times New Roman" w:hAnsi="Times New Roman" w:cs="Times New Roman"/>
          <w:sz w:val="24"/>
          <w:szCs w:val="24"/>
        </w:rPr>
        <w:t xml:space="preserve">/Dual Credit/Cambridge International courses or </w:t>
      </w:r>
      <w:r w:rsidR="00542B62" w:rsidRPr="00542B62">
        <w:rPr>
          <w:rFonts w:ascii="Times New Roman" w:hAnsi="Times New Roman" w:cs="Times New Roman"/>
          <w:sz w:val="24"/>
          <w:szCs w:val="24"/>
          <w:shd w:val="clear" w:color="auto" w:fill="FFFFFF"/>
        </w:rPr>
        <w:t>College Level Examination Program (CLEP)</w:t>
      </w:r>
      <w:r w:rsidRPr="00542B62">
        <w:rPr>
          <w:rFonts w:ascii="Times New Roman" w:hAnsi="Times New Roman" w:cs="Times New Roman"/>
          <w:sz w:val="24"/>
          <w:szCs w:val="24"/>
        </w:rPr>
        <w:t xml:space="preserve"> </w:t>
      </w:r>
      <w:r w:rsidRPr="004B5C03">
        <w:rPr>
          <w:rFonts w:ascii="Times New Roman" w:hAnsi="Times New Roman" w:cs="Times New Roman"/>
          <w:sz w:val="24"/>
          <w:szCs w:val="24"/>
        </w:rPr>
        <w:t xml:space="preserve">Exams: </w:t>
      </w:r>
      <w:r w:rsidR="000A5610">
        <w:rPr>
          <w:rFonts w:ascii="Times New Roman" w:hAnsi="Times New Roman" w:cs="Times New Roman"/>
          <w:sz w:val="24"/>
          <w:szCs w:val="24"/>
        </w:rPr>
        <w:t>E</w:t>
      </w:r>
      <w:r w:rsidRPr="004B5C03">
        <w:rPr>
          <w:rFonts w:ascii="Times New Roman" w:hAnsi="Times New Roman" w:cs="Times New Roman"/>
          <w:sz w:val="24"/>
          <w:szCs w:val="24"/>
        </w:rPr>
        <w:t xml:space="preserve">arn a C average or higher in at least </w:t>
      </w:r>
      <w:r w:rsidRPr="00F30F3E">
        <w:rPr>
          <w:rFonts w:ascii="Times New Roman" w:hAnsi="Times New Roman" w:cs="Times New Roman"/>
          <w:i/>
          <w:sz w:val="24"/>
          <w:szCs w:val="24"/>
        </w:rPr>
        <w:t>three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</w:rPr>
        <w:t xml:space="preserve">(3) </w:t>
      </w:r>
      <w:r w:rsidRPr="004B5C03">
        <w:rPr>
          <w:rFonts w:ascii="Times New Roman" w:hAnsi="Times New Roman" w:cs="Times New Roman"/>
          <w:sz w:val="24"/>
          <w:szCs w:val="24"/>
        </w:rPr>
        <w:t xml:space="preserve">courses; </w:t>
      </w:r>
    </w:p>
    <w:p w:rsidR="002F582D" w:rsidRPr="00EF19D4" w:rsidRDefault="002F582D" w:rsidP="007D0C42">
      <w:pPr>
        <w:pStyle w:val="ListParagraph"/>
        <w:ind w:left="1710" w:hanging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9D4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:rsidR="002F582D" w:rsidRPr="006B40CC" w:rsidRDefault="002F582D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40CC">
        <w:rPr>
          <w:rFonts w:ascii="Times New Roman" w:hAnsi="Times New Roman" w:cs="Times New Roman"/>
          <w:sz w:val="24"/>
          <w:szCs w:val="24"/>
        </w:rPr>
        <w:t xml:space="preserve">Locally created pathway that </w:t>
      </w:r>
      <w:r w:rsidR="006B40CC" w:rsidRPr="006B40CC">
        <w:rPr>
          <w:rFonts w:ascii="Times New Roman" w:hAnsi="Times New Roman" w:cs="Times New Roman"/>
          <w:sz w:val="24"/>
          <w:szCs w:val="24"/>
        </w:rPr>
        <w:t>earns the approval of the State Board of Education by meeting its framework</w:t>
      </w:r>
      <w:r w:rsidRPr="006B40CC">
        <w:rPr>
          <w:rFonts w:ascii="Times New Roman" w:hAnsi="Times New Roman" w:cs="Times New Roman"/>
          <w:sz w:val="24"/>
          <w:szCs w:val="24"/>
        </w:rPr>
        <w:t>.</w:t>
      </w:r>
    </w:p>
    <w:p w:rsidR="00ED15B9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When do </w:t>
      </w:r>
      <w:r w:rsidR="003E416A">
        <w:rPr>
          <w:rFonts w:ascii="Times New Roman" w:hAnsi="Times New Roman" w:cs="Times New Roman"/>
          <w:b/>
          <w:color w:val="0070C0"/>
          <w:sz w:val="28"/>
          <w:szCs w:val="28"/>
        </w:rPr>
        <w:t>schools need to start implementing Graduation Pathways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D15B9" w:rsidRPr="00EF19D4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15B9" w:rsidRDefault="00ED15B9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B9">
        <w:rPr>
          <w:rFonts w:ascii="Times New Roman" w:hAnsi="Times New Roman" w:cs="Times New Roman"/>
          <w:sz w:val="24"/>
          <w:szCs w:val="24"/>
        </w:rPr>
        <w:t>A: The Graduation Pathway</w:t>
      </w:r>
      <w:r w:rsidR="007D0C42">
        <w:rPr>
          <w:rFonts w:ascii="Times New Roman" w:hAnsi="Times New Roman" w:cs="Times New Roman"/>
          <w:sz w:val="24"/>
          <w:szCs w:val="24"/>
        </w:rPr>
        <w:t>s</w:t>
      </w:r>
      <w:r w:rsidRPr="00ED15B9">
        <w:rPr>
          <w:rFonts w:ascii="Times New Roman" w:hAnsi="Times New Roman" w:cs="Times New Roman"/>
          <w:sz w:val="24"/>
          <w:szCs w:val="24"/>
        </w:rPr>
        <w:t xml:space="preserve"> requirements will start with freshmen beginning high school in 2019-20.  This is the graduating class of 2023.</w:t>
      </w:r>
    </w:p>
    <w:p w:rsidR="00ED15B9" w:rsidRPr="00EF19D4" w:rsidRDefault="00ED15B9" w:rsidP="00C718A6">
      <w:pPr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E25C15" w:rsidRPr="007D0C42" w:rsidRDefault="007D0C42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C42">
        <w:rPr>
          <w:rFonts w:ascii="Times New Roman" w:hAnsi="Times New Roman" w:cs="Times New Roman"/>
          <w:sz w:val="24"/>
          <w:szCs w:val="24"/>
        </w:rPr>
        <w:t xml:space="preserve">Students graduating in 2019, 2020, 2021, or 2022 may satisfy graduation requirements by either passing the </w:t>
      </w:r>
      <w:r w:rsidR="0078744A">
        <w:rPr>
          <w:rFonts w:ascii="Times New Roman" w:hAnsi="Times New Roman" w:cs="Times New Roman"/>
          <w:sz w:val="24"/>
          <w:szCs w:val="24"/>
        </w:rPr>
        <w:t xml:space="preserve">current </w:t>
      </w:r>
      <w:r w:rsidRPr="007D0C42">
        <w:rPr>
          <w:rFonts w:ascii="Times New Roman" w:hAnsi="Times New Roman" w:cs="Times New Roman"/>
          <w:sz w:val="24"/>
          <w:szCs w:val="24"/>
        </w:rPr>
        <w:t>graduation qualifying exam</w:t>
      </w:r>
      <w:r w:rsidR="0078744A">
        <w:rPr>
          <w:rFonts w:ascii="Times New Roman" w:hAnsi="Times New Roman" w:cs="Times New Roman"/>
          <w:sz w:val="24"/>
          <w:szCs w:val="24"/>
        </w:rPr>
        <w:t>s (ISTEP 10 or ECAs)</w:t>
      </w:r>
      <w:r w:rsidRPr="007D0C42">
        <w:rPr>
          <w:rFonts w:ascii="Times New Roman" w:hAnsi="Times New Roman" w:cs="Times New Roman"/>
          <w:sz w:val="24"/>
          <w:szCs w:val="24"/>
        </w:rPr>
        <w:t xml:space="preserve"> or completing the </w:t>
      </w:r>
      <w:r w:rsidR="00423D11">
        <w:rPr>
          <w:rFonts w:ascii="Times New Roman" w:hAnsi="Times New Roman" w:cs="Times New Roman"/>
          <w:sz w:val="24"/>
          <w:szCs w:val="24"/>
        </w:rPr>
        <w:t>Graduation P</w:t>
      </w:r>
      <w:r w:rsidRPr="007D0C42">
        <w:rPr>
          <w:rFonts w:ascii="Times New Roman" w:hAnsi="Times New Roman" w:cs="Times New Roman"/>
          <w:sz w:val="24"/>
          <w:szCs w:val="24"/>
        </w:rPr>
        <w:t xml:space="preserve">athways. The option to satisfy graduation requirements through completion of the </w:t>
      </w:r>
      <w:r w:rsidR="00423D11">
        <w:rPr>
          <w:rFonts w:ascii="Times New Roman" w:hAnsi="Times New Roman" w:cs="Times New Roman"/>
          <w:sz w:val="24"/>
          <w:szCs w:val="24"/>
        </w:rPr>
        <w:t>Graduation P</w:t>
      </w:r>
      <w:r w:rsidRPr="007D0C42">
        <w:rPr>
          <w:rFonts w:ascii="Times New Roman" w:hAnsi="Times New Roman" w:cs="Times New Roman"/>
          <w:sz w:val="24"/>
          <w:szCs w:val="24"/>
        </w:rPr>
        <w:t>athways is dependent upon whether the student’s school makes this opportunity available.</w:t>
      </w:r>
    </w:p>
    <w:p w:rsidR="007D0C42" w:rsidRPr="00E25C15" w:rsidRDefault="007D0C42" w:rsidP="00C718A6">
      <w:pPr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ED15B9" w:rsidRPr="00F90C7C" w:rsidRDefault="003405F9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legislation pending in </w:t>
      </w:r>
      <w:r w:rsidR="001F1CD3">
        <w:rPr>
          <w:rFonts w:ascii="Times New Roman" w:hAnsi="Times New Roman" w:cs="Times New Roman"/>
          <w:sz w:val="24"/>
          <w:szCs w:val="24"/>
        </w:rPr>
        <w:t xml:space="preserve">the </w:t>
      </w:r>
      <w:r w:rsidR="007D0C42">
        <w:rPr>
          <w:rFonts w:ascii="Times New Roman" w:hAnsi="Times New Roman" w:cs="Times New Roman"/>
          <w:sz w:val="24"/>
          <w:szCs w:val="24"/>
        </w:rPr>
        <w:t>Indiana General Assembly</w:t>
      </w:r>
      <w:r>
        <w:rPr>
          <w:rFonts w:ascii="Times New Roman" w:hAnsi="Times New Roman" w:cs="Times New Roman"/>
          <w:sz w:val="24"/>
          <w:szCs w:val="24"/>
        </w:rPr>
        <w:t xml:space="preserve"> that would allow students graduating in 2018</w:t>
      </w:r>
      <w:r w:rsidR="0095364F">
        <w:rPr>
          <w:rFonts w:ascii="Times New Roman" w:hAnsi="Times New Roman" w:cs="Times New Roman"/>
          <w:sz w:val="24"/>
          <w:szCs w:val="24"/>
        </w:rPr>
        <w:t xml:space="preserve"> to use the Graduation Pathways in lieu of </w:t>
      </w:r>
      <w:r w:rsidR="007D0C42">
        <w:rPr>
          <w:rFonts w:ascii="Times New Roman" w:hAnsi="Times New Roman" w:cs="Times New Roman"/>
          <w:sz w:val="24"/>
          <w:szCs w:val="24"/>
        </w:rPr>
        <w:t xml:space="preserve">current </w:t>
      </w:r>
      <w:r w:rsidR="0078744A">
        <w:rPr>
          <w:rFonts w:ascii="Times New Roman" w:hAnsi="Times New Roman" w:cs="Times New Roman"/>
          <w:sz w:val="24"/>
          <w:szCs w:val="24"/>
        </w:rPr>
        <w:t>qualifying exams.</w:t>
      </w:r>
    </w:p>
    <w:p w:rsidR="00ED15B9" w:rsidRPr="00D8731D" w:rsidRDefault="00ED15B9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5B9" w:rsidRPr="004B5C03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Can </w:t>
      </w:r>
      <w:r w:rsidR="000704A2">
        <w:rPr>
          <w:rFonts w:ascii="Times New Roman" w:hAnsi="Times New Roman" w:cs="Times New Roman"/>
          <w:b/>
          <w:color w:val="0070C0"/>
          <w:sz w:val="28"/>
          <w:szCs w:val="28"/>
        </w:rPr>
        <w:t>a student use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Graduation Pathways to satisfy </w:t>
      </w:r>
      <w:r w:rsidR="000704A2">
        <w:rPr>
          <w:rFonts w:ascii="Times New Roman" w:hAnsi="Times New Roman" w:cs="Times New Roman"/>
          <w:b/>
          <w:color w:val="0070C0"/>
          <w:sz w:val="28"/>
          <w:szCs w:val="28"/>
        </w:rPr>
        <w:t>the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graduation requirements</w:t>
      </w:r>
      <w:r w:rsidR="009E0D3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even if graduating before 2023?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</w:t>
      </w:r>
    </w:p>
    <w:p w:rsidR="00ED15B9" w:rsidRPr="00EF19D4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15B9" w:rsidRPr="00ED15B9" w:rsidRDefault="00ED15B9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B9">
        <w:rPr>
          <w:rFonts w:ascii="Times New Roman" w:hAnsi="Times New Roman" w:cs="Times New Roman"/>
          <w:sz w:val="24"/>
          <w:szCs w:val="24"/>
        </w:rPr>
        <w:t>A: Yes, students may opt-in to using a Graduation Pathway in lieu of the graduation qualifying examination</w:t>
      </w:r>
      <w:r w:rsidR="000704A2">
        <w:rPr>
          <w:rFonts w:ascii="Times New Roman" w:hAnsi="Times New Roman" w:cs="Times New Roman"/>
          <w:sz w:val="24"/>
          <w:szCs w:val="24"/>
        </w:rPr>
        <w:t xml:space="preserve"> (e.g., ISTEP 10)</w:t>
      </w:r>
      <w:r w:rsidR="0008654F">
        <w:rPr>
          <w:rFonts w:ascii="Times New Roman" w:hAnsi="Times New Roman" w:cs="Times New Roman"/>
          <w:sz w:val="24"/>
          <w:szCs w:val="24"/>
        </w:rPr>
        <w:t xml:space="preserve">. </w:t>
      </w:r>
      <w:r w:rsidRPr="00ED15B9">
        <w:rPr>
          <w:rFonts w:ascii="Times New Roman" w:hAnsi="Times New Roman" w:cs="Times New Roman"/>
          <w:sz w:val="24"/>
          <w:szCs w:val="24"/>
        </w:rPr>
        <w:t xml:space="preserve">The </w:t>
      </w:r>
      <w:r w:rsidR="00D8731D">
        <w:rPr>
          <w:rFonts w:ascii="Times New Roman" w:hAnsi="Times New Roman" w:cs="Times New Roman"/>
          <w:sz w:val="24"/>
          <w:szCs w:val="24"/>
        </w:rPr>
        <w:t xml:space="preserve">State </w:t>
      </w:r>
      <w:r w:rsidRPr="00ED15B9">
        <w:rPr>
          <w:rFonts w:ascii="Times New Roman" w:hAnsi="Times New Roman" w:cs="Times New Roman"/>
          <w:sz w:val="24"/>
          <w:szCs w:val="24"/>
        </w:rPr>
        <w:t>Board</w:t>
      </w:r>
      <w:r w:rsidR="00D8731D">
        <w:rPr>
          <w:rFonts w:ascii="Times New Roman" w:hAnsi="Times New Roman" w:cs="Times New Roman"/>
          <w:sz w:val="24"/>
          <w:szCs w:val="24"/>
        </w:rPr>
        <w:t xml:space="preserve"> Of Education</w:t>
      </w:r>
      <w:r w:rsidRPr="00ED15B9">
        <w:rPr>
          <w:rFonts w:ascii="Times New Roman" w:hAnsi="Times New Roman" w:cs="Times New Roman"/>
          <w:sz w:val="24"/>
          <w:szCs w:val="24"/>
        </w:rPr>
        <w:t xml:space="preserve"> recommends schools work towards allowing students to opt-in.    </w:t>
      </w:r>
    </w:p>
    <w:p w:rsidR="00ED15B9" w:rsidRPr="00D8731D" w:rsidRDefault="00ED15B9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</w:t>
      </w:r>
    </w:p>
    <w:p w:rsidR="00623C6D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Does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earning a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012E9">
        <w:rPr>
          <w:rFonts w:ascii="Times New Roman" w:hAnsi="Times New Roman" w:cs="Times New Roman"/>
          <w:b/>
          <w:color w:val="0070C0"/>
          <w:sz w:val="28"/>
          <w:szCs w:val="28"/>
        </w:rPr>
        <w:t>General D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iploma still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mean a student is an Indiana graduate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</w:p>
    <w:p w:rsidR="002F582D" w:rsidRPr="00EF19D4" w:rsidRDefault="002F582D" w:rsidP="00C718A6">
      <w:pPr>
        <w:jc w:val="both"/>
        <w:rPr>
          <w:color w:val="1F497D"/>
          <w:sz w:val="12"/>
          <w:szCs w:val="12"/>
        </w:rPr>
      </w:pPr>
    </w:p>
    <w:p w:rsidR="002F582D" w:rsidRDefault="000A5610" w:rsidP="00B012E9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582D" w:rsidRPr="004B5C0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2E9">
        <w:rPr>
          <w:rFonts w:ascii="Times New Roman" w:hAnsi="Times New Roman" w:cs="Times New Roman"/>
          <w:sz w:val="24"/>
          <w:szCs w:val="24"/>
        </w:rPr>
        <w:t xml:space="preserve"> There is legislation pending in the </w:t>
      </w:r>
      <w:r w:rsidR="00423D11">
        <w:rPr>
          <w:rFonts w:ascii="Times New Roman" w:hAnsi="Times New Roman" w:cs="Times New Roman"/>
          <w:sz w:val="24"/>
          <w:szCs w:val="24"/>
        </w:rPr>
        <w:t>Indiana General Assembly</w:t>
      </w:r>
      <w:r w:rsidR="00B012E9">
        <w:rPr>
          <w:rFonts w:ascii="Times New Roman" w:hAnsi="Times New Roman" w:cs="Times New Roman"/>
          <w:sz w:val="24"/>
          <w:szCs w:val="24"/>
        </w:rPr>
        <w:t xml:space="preserve"> that would move Indiana to a one diploma system with four designations (General, Core 40, Academic Honors, and Technical Honors</w:t>
      </w:r>
      <w:r w:rsidR="00840D62">
        <w:rPr>
          <w:rFonts w:ascii="Times New Roman" w:hAnsi="Times New Roman" w:cs="Times New Roman"/>
          <w:sz w:val="24"/>
          <w:szCs w:val="24"/>
        </w:rPr>
        <w:t>)</w:t>
      </w:r>
      <w:r w:rsidR="00B012E9">
        <w:rPr>
          <w:rFonts w:ascii="Times New Roman" w:hAnsi="Times New Roman" w:cs="Times New Roman"/>
          <w:sz w:val="24"/>
          <w:szCs w:val="24"/>
        </w:rPr>
        <w:t>.</w:t>
      </w:r>
      <w:r w:rsidR="00840D62">
        <w:rPr>
          <w:rFonts w:ascii="Times New Roman" w:hAnsi="Times New Roman" w:cs="Times New Roman"/>
          <w:sz w:val="24"/>
          <w:szCs w:val="24"/>
        </w:rPr>
        <w:t xml:space="preserve"> The General Diploma will still be an option for </w:t>
      </w:r>
      <w:r w:rsidR="00C2054B">
        <w:rPr>
          <w:rFonts w:ascii="Times New Roman" w:hAnsi="Times New Roman" w:cs="Times New Roman"/>
          <w:sz w:val="24"/>
          <w:szCs w:val="24"/>
        </w:rPr>
        <w:t>Indiana</w:t>
      </w:r>
      <w:r w:rsidR="00840D62">
        <w:rPr>
          <w:rFonts w:ascii="Times New Roman" w:hAnsi="Times New Roman" w:cs="Times New Roman"/>
          <w:sz w:val="24"/>
          <w:szCs w:val="24"/>
        </w:rPr>
        <w:t xml:space="preserve"> students.</w:t>
      </w:r>
      <w:r w:rsidR="00B012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414" w:rsidRPr="00D8731D" w:rsidRDefault="00F40414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5610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If </w:t>
      </w:r>
      <w:r w:rsidR="000704A2">
        <w:rPr>
          <w:rFonts w:ascii="Times New Roman" w:hAnsi="Times New Roman" w:cs="Times New Roman"/>
          <w:b/>
          <w:color w:val="0070C0"/>
          <w:sz w:val="28"/>
          <w:szCs w:val="28"/>
        </w:rPr>
        <w:t>a student is earning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</w:t>
      </w:r>
      <w:r w:rsidR="00B012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General D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>iploma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does that student have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complete the Graduation Pathway</w:t>
      </w:r>
      <w:r w:rsidR="00423D11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  </w:t>
      </w:r>
    </w:p>
    <w:p w:rsidR="000A5610" w:rsidRPr="00EF19D4" w:rsidRDefault="000A5610" w:rsidP="00C718A6">
      <w:pPr>
        <w:jc w:val="both"/>
        <w:rPr>
          <w:color w:val="1F497D"/>
          <w:sz w:val="12"/>
          <w:szCs w:val="12"/>
        </w:rPr>
      </w:pPr>
    </w:p>
    <w:p w:rsidR="000A5610" w:rsidRDefault="000A5610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4B5C0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610" w:rsidRPr="00D8731D" w:rsidRDefault="000A5610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610" w:rsidRPr="004B5C03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If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 student is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earning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F50C3">
        <w:rPr>
          <w:rFonts w:ascii="Times New Roman" w:hAnsi="Times New Roman" w:cs="Times New Roman"/>
          <w:b/>
          <w:color w:val="0070C0"/>
          <w:sz w:val="28"/>
          <w:szCs w:val="28"/>
        </w:rPr>
        <w:t>Certificate of C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ompletion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does that student </w:t>
      </w:r>
      <w:r w:rsidR="00423D1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have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to complete the Graduation Pathway</w:t>
      </w:r>
      <w:r w:rsidR="003C71B8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</w:t>
      </w:r>
    </w:p>
    <w:p w:rsidR="000A5610" w:rsidRPr="00EF19D4" w:rsidRDefault="000A5610" w:rsidP="00C718A6">
      <w:pPr>
        <w:jc w:val="both"/>
        <w:rPr>
          <w:color w:val="1F497D"/>
          <w:sz w:val="12"/>
          <w:szCs w:val="12"/>
        </w:rPr>
      </w:pPr>
    </w:p>
    <w:p w:rsidR="000A5610" w:rsidRDefault="000A5610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No.</w:t>
      </w:r>
    </w:p>
    <w:p w:rsidR="00623C6D" w:rsidRPr="00D8731D" w:rsidRDefault="00623C6D" w:rsidP="00C718A6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033F1D" w:rsidRDefault="00033F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3C71B8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a student has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an Individual Education Plan (IEP)</w:t>
      </w:r>
      <w:r w:rsidR="003C71B8">
        <w:rPr>
          <w:rFonts w:ascii="Times New Roman" w:hAnsi="Times New Roman" w:cs="Times New Roman"/>
          <w:b/>
          <w:color w:val="0070C0"/>
          <w:sz w:val="28"/>
          <w:szCs w:val="28"/>
        </w:rPr>
        <w:t>, does that student have to complete the Graduation Pathways Requirement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033F1D" w:rsidRPr="00EF19D4" w:rsidRDefault="00033F1D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33F1D" w:rsidRPr="00033F1D" w:rsidRDefault="00033F1D" w:rsidP="00C718A6">
      <w:p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33F1D">
        <w:rPr>
          <w:rFonts w:ascii="Times New Roman" w:hAnsi="Times New Roman" w:cs="Times New Roman"/>
          <w:sz w:val="24"/>
          <w:szCs w:val="24"/>
        </w:rPr>
        <w:t xml:space="preserve">A: </w:t>
      </w:r>
      <w:r w:rsidR="00F30F3E">
        <w:rPr>
          <w:rFonts w:ascii="Times New Roman" w:hAnsi="Times New Roman" w:cs="Times New Roman"/>
          <w:sz w:val="24"/>
          <w:szCs w:val="24"/>
        </w:rPr>
        <w:t xml:space="preserve">Yes. </w:t>
      </w:r>
      <w:r w:rsidRPr="00033F1D">
        <w:rPr>
          <w:rFonts w:ascii="Times New Roman" w:hAnsi="Times New Roman" w:cs="Times New Roman"/>
          <w:sz w:val="24"/>
          <w:szCs w:val="24"/>
        </w:rPr>
        <w:t xml:space="preserve">If </w:t>
      </w:r>
      <w:r w:rsidR="000B75F5">
        <w:rPr>
          <w:rFonts w:ascii="Times New Roman" w:hAnsi="Times New Roman" w:cs="Times New Roman"/>
          <w:sz w:val="24"/>
          <w:szCs w:val="24"/>
        </w:rPr>
        <w:t>a student is</w:t>
      </w:r>
      <w:r w:rsidRPr="00033F1D">
        <w:rPr>
          <w:rFonts w:ascii="Times New Roman" w:hAnsi="Times New Roman" w:cs="Times New Roman"/>
          <w:sz w:val="24"/>
          <w:szCs w:val="24"/>
        </w:rPr>
        <w:t xml:space="preserve"> earning a </w:t>
      </w:r>
      <w:r w:rsidRPr="000B75F5">
        <w:rPr>
          <w:rFonts w:ascii="Times New Roman" w:hAnsi="Times New Roman" w:cs="Times New Roman"/>
          <w:sz w:val="24"/>
          <w:szCs w:val="24"/>
          <w:u w:val="single"/>
        </w:rPr>
        <w:t>high school diploma</w:t>
      </w:r>
      <w:r w:rsidRPr="00033F1D">
        <w:rPr>
          <w:rFonts w:ascii="Times New Roman" w:hAnsi="Times New Roman" w:cs="Times New Roman"/>
          <w:sz w:val="24"/>
          <w:szCs w:val="24"/>
        </w:rPr>
        <w:t xml:space="preserve"> (and not a Certificate of Completion), </w:t>
      </w:r>
      <w:r w:rsidR="000B75F5">
        <w:rPr>
          <w:rFonts w:ascii="Times New Roman" w:hAnsi="Times New Roman" w:cs="Times New Roman"/>
          <w:sz w:val="24"/>
          <w:szCs w:val="24"/>
        </w:rPr>
        <w:t>the student</w:t>
      </w:r>
      <w:r w:rsidRPr="00033F1D">
        <w:rPr>
          <w:rFonts w:ascii="Times New Roman" w:hAnsi="Times New Roman" w:cs="Times New Roman"/>
          <w:sz w:val="24"/>
          <w:szCs w:val="24"/>
        </w:rPr>
        <w:t xml:space="preserve"> will need to fulfill the Gr</w:t>
      </w:r>
      <w:r w:rsidR="0008654F">
        <w:rPr>
          <w:rFonts w:ascii="Times New Roman" w:hAnsi="Times New Roman" w:cs="Times New Roman"/>
          <w:sz w:val="24"/>
          <w:szCs w:val="24"/>
        </w:rPr>
        <w:t xml:space="preserve">aduation Pathway requirements. </w:t>
      </w:r>
      <w:r w:rsidR="000B75F5">
        <w:rPr>
          <w:rFonts w:ascii="Times New Roman" w:hAnsi="Times New Roman" w:cs="Times New Roman"/>
          <w:sz w:val="24"/>
          <w:szCs w:val="24"/>
        </w:rPr>
        <w:t>The student’s</w:t>
      </w:r>
      <w:r w:rsidRPr="00033F1D">
        <w:rPr>
          <w:rFonts w:ascii="Times New Roman" w:hAnsi="Times New Roman" w:cs="Times New Roman"/>
          <w:sz w:val="24"/>
          <w:szCs w:val="24"/>
        </w:rPr>
        <w:t xml:space="preserve"> IEP </w:t>
      </w:r>
      <w:r w:rsidR="00F30F3E">
        <w:rPr>
          <w:rFonts w:ascii="Times New Roman" w:hAnsi="Times New Roman" w:cs="Times New Roman"/>
          <w:sz w:val="24"/>
          <w:szCs w:val="24"/>
        </w:rPr>
        <w:t>must</w:t>
      </w:r>
      <w:r w:rsidRPr="00033F1D">
        <w:rPr>
          <w:rFonts w:ascii="Times New Roman" w:hAnsi="Times New Roman" w:cs="Times New Roman"/>
          <w:sz w:val="24"/>
          <w:szCs w:val="24"/>
        </w:rPr>
        <w:t xml:space="preserve"> include accommodations and resources to help meet these requirements.</w:t>
      </w:r>
      <w:r w:rsidR="00E32EAF">
        <w:rPr>
          <w:rFonts w:ascii="Times New Roman" w:hAnsi="Times New Roman" w:cs="Times New Roman"/>
          <w:sz w:val="24"/>
          <w:szCs w:val="24"/>
        </w:rPr>
        <w:t xml:space="preserve"> IEP goals and services </w:t>
      </w:r>
      <w:r w:rsidR="00F30F3E">
        <w:rPr>
          <w:rFonts w:ascii="Times New Roman" w:hAnsi="Times New Roman" w:cs="Times New Roman"/>
          <w:sz w:val="24"/>
          <w:szCs w:val="24"/>
        </w:rPr>
        <w:t>must</w:t>
      </w:r>
      <w:r w:rsidR="00E32EAF">
        <w:rPr>
          <w:rFonts w:ascii="Times New Roman" w:hAnsi="Times New Roman" w:cs="Times New Roman"/>
          <w:sz w:val="24"/>
          <w:szCs w:val="24"/>
        </w:rPr>
        <w:t xml:space="preserve"> also support students to meet these requirements.</w:t>
      </w:r>
    </w:p>
    <w:p w:rsidR="00F30F3E" w:rsidRDefault="00F30F3E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37D34" w:rsidRDefault="00B37D34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B842B9">
        <w:rPr>
          <w:rFonts w:ascii="Times New Roman" w:hAnsi="Times New Roman" w:cs="Times New Roman"/>
          <w:b/>
          <w:color w:val="0070C0"/>
          <w:sz w:val="28"/>
          <w:szCs w:val="28"/>
        </w:rPr>
        <w:t>What is the status of the waiver for the diploma?</w:t>
      </w:r>
    </w:p>
    <w:p w:rsidR="00B842B9" w:rsidRPr="00EF19D4" w:rsidRDefault="00B842B9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33F1D" w:rsidRPr="00033F1D" w:rsidRDefault="005F50C3" w:rsidP="003C71B8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3F1D">
        <w:rPr>
          <w:rFonts w:ascii="Times New Roman" w:hAnsi="Times New Roman" w:cs="Times New Roman"/>
          <w:sz w:val="24"/>
          <w:szCs w:val="24"/>
        </w:rPr>
        <w:t xml:space="preserve">A: </w:t>
      </w:r>
      <w:r w:rsidR="00033F1D" w:rsidRPr="00033F1D">
        <w:rPr>
          <w:rFonts w:ascii="Times New Roman" w:hAnsi="Times New Roman" w:cs="Times New Roman"/>
          <w:sz w:val="24"/>
          <w:szCs w:val="24"/>
        </w:rPr>
        <w:t>The legislature defines the</w:t>
      </w:r>
      <w:r w:rsidR="00E835A4" w:rsidRPr="00033F1D">
        <w:rPr>
          <w:rFonts w:ascii="Times New Roman" w:hAnsi="Times New Roman" w:cs="Times New Roman"/>
          <w:sz w:val="24"/>
          <w:szCs w:val="24"/>
        </w:rPr>
        <w:t xml:space="preserve"> waiver in statute.</w:t>
      </w:r>
      <w:r w:rsidR="003C71B8">
        <w:rPr>
          <w:rFonts w:ascii="Times New Roman" w:hAnsi="Times New Roman" w:cs="Times New Roman"/>
          <w:sz w:val="24"/>
          <w:szCs w:val="24"/>
        </w:rPr>
        <w:t xml:space="preserve"> </w:t>
      </w:r>
      <w:r w:rsidR="009E0D35">
        <w:rPr>
          <w:rFonts w:ascii="Times New Roman" w:hAnsi="Times New Roman" w:cs="Times New Roman"/>
          <w:sz w:val="24"/>
          <w:szCs w:val="24"/>
        </w:rPr>
        <w:t xml:space="preserve">There is legislation pending in the </w:t>
      </w:r>
      <w:r w:rsidR="003C71B8">
        <w:rPr>
          <w:rFonts w:ascii="Times New Roman" w:hAnsi="Times New Roman" w:cs="Times New Roman"/>
          <w:sz w:val="24"/>
          <w:szCs w:val="24"/>
        </w:rPr>
        <w:t>Indiana General Assembly</w:t>
      </w:r>
      <w:r w:rsidR="009E0D35">
        <w:rPr>
          <w:rFonts w:ascii="Times New Roman" w:hAnsi="Times New Roman" w:cs="Times New Roman"/>
          <w:sz w:val="24"/>
          <w:szCs w:val="24"/>
        </w:rPr>
        <w:t xml:space="preserve"> that would change the waiver.</w:t>
      </w:r>
      <w:r w:rsidR="0008654F">
        <w:rPr>
          <w:rFonts w:ascii="Times New Roman" w:hAnsi="Times New Roman" w:cs="Times New Roman"/>
          <w:sz w:val="24"/>
          <w:szCs w:val="24"/>
        </w:rPr>
        <w:t xml:space="preserve"> </w:t>
      </w:r>
      <w:r w:rsidR="00F30F3E">
        <w:rPr>
          <w:rFonts w:ascii="Times New Roman" w:hAnsi="Times New Roman" w:cs="Times New Roman"/>
          <w:sz w:val="24"/>
          <w:szCs w:val="24"/>
        </w:rPr>
        <w:t>Any changes the legislature makes to the law will be reflected in future guidance documents</w:t>
      </w:r>
      <w:r w:rsidR="0008654F">
        <w:rPr>
          <w:rFonts w:ascii="Times New Roman" w:hAnsi="Times New Roman" w:cs="Times New Roman"/>
          <w:sz w:val="24"/>
          <w:szCs w:val="24"/>
        </w:rPr>
        <w:t>.</w:t>
      </w:r>
    </w:p>
    <w:p w:rsidR="005F50C3" w:rsidRPr="00D8731D" w:rsidRDefault="005F50C3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32851" w:rsidRDefault="000A561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932851">
        <w:rPr>
          <w:rFonts w:ascii="Times New Roman" w:hAnsi="Times New Roman" w:cs="Times New Roman"/>
          <w:b/>
          <w:color w:val="0070C0"/>
          <w:sz w:val="28"/>
          <w:szCs w:val="28"/>
        </w:rPr>
        <w:t>Where can Indiana’s employability skills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be accessed</w:t>
      </w:r>
      <w:r w:rsidR="00932851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932851" w:rsidRPr="00EF19D4" w:rsidRDefault="00932851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32851" w:rsidRPr="00932851" w:rsidRDefault="00932851" w:rsidP="00932851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2851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851">
        <w:rPr>
          <w:rFonts w:ascii="Times New Roman" w:hAnsi="Times New Roman" w:cs="Times New Roman"/>
          <w:sz w:val="24"/>
          <w:szCs w:val="24"/>
        </w:rPr>
        <w:t xml:space="preserve">Indiana’s employability skills were developed by the Department of Workforce Development and can be accessed </w:t>
      </w:r>
      <w:hyperlink r:id="rId7" w:history="1">
        <w:r w:rsidRPr="00A94298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32851">
        <w:rPr>
          <w:rFonts w:ascii="Times New Roman" w:hAnsi="Times New Roman" w:cs="Times New Roman"/>
          <w:sz w:val="24"/>
          <w:szCs w:val="24"/>
        </w:rPr>
        <w:t>.</w:t>
      </w:r>
    </w:p>
    <w:p w:rsidR="00932851" w:rsidRPr="00D8731D" w:rsidRDefault="00932851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3C6D" w:rsidRPr="004B5C03" w:rsidRDefault="00932851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 students </w:t>
      </w:r>
      <w:r w:rsidR="00623C6D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need to 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complete all the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Postsecondary-Ready Competency options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to graduate?</w:t>
      </w:r>
    </w:p>
    <w:p w:rsidR="004B5C03" w:rsidRPr="00EF19D4" w:rsidRDefault="004B5C03" w:rsidP="00C718A6">
      <w:pPr>
        <w:jc w:val="both"/>
        <w:rPr>
          <w:sz w:val="12"/>
          <w:szCs w:val="12"/>
        </w:rPr>
      </w:pPr>
    </w:p>
    <w:p w:rsidR="004B5C03" w:rsidRPr="004B5C03" w:rsidRDefault="00ED480F" w:rsidP="00C718A6">
      <w:pPr>
        <w:ind w:left="1080" w:hanging="36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4B5C03" w:rsidRPr="004B5C03">
        <w:rPr>
          <w:rFonts w:ascii="Times New Roman" w:hAnsi="Times New Roman" w:cs="Times New Roman"/>
          <w:sz w:val="24"/>
          <w:szCs w:val="24"/>
        </w:rPr>
        <w:t xml:space="preserve">No. A student </w:t>
      </w:r>
      <w:r w:rsidR="00F30F3E">
        <w:rPr>
          <w:rFonts w:ascii="Times New Roman" w:hAnsi="Times New Roman" w:cs="Times New Roman"/>
          <w:sz w:val="24"/>
          <w:szCs w:val="24"/>
        </w:rPr>
        <w:t xml:space="preserve">only </w:t>
      </w:r>
      <w:r w:rsidR="004B5C03">
        <w:rPr>
          <w:rFonts w:ascii="Times New Roman" w:hAnsi="Times New Roman" w:cs="Times New Roman"/>
          <w:sz w:val="24"/>
          <w:szCs w:val="24"/>
        </w:rPr>
        <w:t xml:space="preserve">needs </w:t>
      </w:r>
      <w:r w:rsidR="004B5C03" w:rsidRPr="004B5C03">
        <w:rPr>
          <w:rFonts w:ascii="Times New Roman" w:hAnsi="Times New Roman" w:cs="Times New Roman"/>
          <w:sz w:val="24"/>
          <w:szCs w:val="24"/>
        </w:rPr>
        <w:t xml:space="preserve">to complete </w:t>
      </w:r>
      <w:r w:rsidR="003C71B8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4B5C03" w:rsidRPr="004B5C03">
        <w:rPr>
          <w:rFonts w:ascii="Times New Roman" w:hAnsi="Times New Roman" w:cs="Times New Roman"/>
          <w:sz w:val="24"/>
          <w:szCs w:val="24"/>
        </w:rPr>
        <w:t xml:space="preserve"> of the options listed.</w:t>
      </w:r>
      <w:r w:rsidR="009A382F">
        <w:rPr>
          <w:rFonts w:ascii="Times New Roman" w:hAnsi="Times New Roman" w:cs="Times New Roman"/>
          <w:sz w:val="24"/>
          <w:szCs w:val="24"/>
        </w:rPr>
        <w:t xml:space="preserve">  However, a student may </w:t>
      </w:r>
      <w:r w:rsidR="005F50C3">
        <w:rPr>
          <w:rFonts w:ascii="Times New Roman" w:hAnsi="Times New Roman" w:cs="Times New Roman"/>
          <w:sz w:val="24"/>
          <w:szCs w:val="24"/>
        </w:rPr>
        <w:t>engage</w:t>
      </w:r>
      <w:r w:rsidR="009A382F">
        <w:rPr>
          <w:rFonts w:ascii="Times New Roman" w:hAnsi="Times New Roman" w:cs="Times New Roman"/>
          <w:sz w:val="24"/>
          <w:szCs w:val="24"/>
        </w:rPr>
        <w:t xml:space="preserve"> </w:t>
      </w:r>
      <w:r w:rsidR="003C71B8">
        <w:rPr>
          <w:rFonts w:ascii="Times New Roman" w:hAnsi="Times New Roman" w:cs="Times New Roman"/>
          <w:sz w:val="24"/>
          <w:szCs w:val="24"/>
        </w:rPr>
        <w:t xml:space="preserve">in </w:t>
      </w:r>
      <w:r w:rsidR="009A382F">
        <w:rPr>
          <w:rFonts w:ascii="Times New Roman" w:hAnsi="Times New Roman" w:cs="Times New Roman"/>
          <w:sz w:val="24"/>
          <w:szCs w:val="24"/>
        </w:rPr>
        <w:t xml:space="preserve">or complete multiple options, if </w:t>
      </w:r>
      <w:r w:rsidR="005F50C3">
        <w:rPr>
          <w:rFonts w:ascii="Times New Roman" w:hAnsi="Times New Roman" w:cs="Times New Roman"/>
          <w:sz w:val="24"/>
          <w:szCs w:val="24"/>
        </w:rPr>
        <w:t>desired</w:t>
      </w:r>
      <w:r w:rsidR="009A382F">
        <w:rPr>
          <w:rFonts w:ascii="Times New Roman" w:hAnsi="Times New Roman" w:cs="Times New Roman"/>
          <w:sz w:val="24"/>
          <w:szCs w:val="24"/>
        </w:rPr>
        <w:t>.</w:t>
      </w:r>
    </w:p>
    <w:p w:rsidR="00623C6D" w:rsidRPr="00D8731D" w:rsidRDefault="00623C6D" w:rsidP="00C718A6">
      <w:pPr>
        <w:jc w:val="both"/>
        <w:rPr>
          <w:color w:val="1F497D"/>
          <w:sz w:val="24"/>
          <w:szCs w:val="24"/>
        </w:rPr>
      </w:pPr>
    </w:p>
    <w:p w:rsidR="00ED480F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Does a school need to offer all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Postsecondary-Ready Competency options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D480F" w:rsidRPr="00EF19D4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480F" w:rsidRPr="00090E27" w:rsidRDefault="00ED480F" w:rsidP="000B75F5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No.</w:t>
      </w:r>
      <w:r w:rsidR="000B75F5">
        <w:rPr>
          <w:rFonts w:ascii="Times New Roman" w:hAnsi="Times New Roman" w:cs="Times New Roman"/>
          <w:sz w:val="24"/>
          <w:szCs w:val="24"/>
        </w:rPr>
        <w:t xml:space="preserve">  However, schools are encouraged to offer multiple options to students</w:t>
      </w:r>
      <w:r w:rsidR="0078744A">
        <w:rPr>
          <w:rFonts w:ascii="Times New Roman" w:hAnsi="Times New Roman" w:cs="Times New Roman"/>
          <w:sz w:val="24"/>
          <w:szCs w:val="24"/>
        </w:rPr>
        <w:t xml:space="preserve"> to increase</w:t>
      </w:r>
      <w:r w:rsidR="000B75F5">
        <w:rPr>
          <w:rFonts w:ascii="Times New Roman" w:hAnsi="Times New Roman" w:cs="Times New Roman"/>
          <w:sz w:val="24"/>
          <w:szCs w:val="24"/>
        </w:rPr>
        <w:t xml:space="preserve"> opportunities for students to demonstrate their postsecondary readiness.  </w:t>
      </w:r>
    </w:p>
    <w:p w:rsidR="00ED480F" w:rsidRPr="00D8731D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B5C03" w:rsidRPr="004B5C03" w:rsidRDefault="00033F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are </w:t>
      </w:r>
      <w:r w:rsidR="00090E27">
        <w:rPr>
          <w:rFonts w:ascii="Times New Roman" w:hAnsi="Times New Roman" w:cs="Times New Roman"/>
          <w:b/>
          <w:color w:val="0070C0"/>
          <w:sz w:val="28"/>
          <w:szCs w:val="28"/>
        </w:rPr>
        <w:t>the current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college-ready 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benchmark</w:t>
      </w:r>
      <w:r w:rsidR="00F40414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A5639">
        <w:rPr>
          <w:rFonts w:ascii="Times New Roman" w:hAnsi="Times New Roman" w:cs="Times New Roman"/>
          <w:b/>
          <w:color w:val="0070C0"/>
          <w:sz w:val="28"/>
          <w:szCs w:val="28"/>
        </w:rPr>
        <w:t>for the</w:t>
      </w:r>
      <w:r w:rsidR="00090E2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SAT and the ACT</w:t>
      </w:r>
      <w:r w:rsidR="004B5C03" w:rsidRPr="004B5C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B5C03" w:rsidRPr="00EF19D4" w:rsidRDefault="004B5C03" w:rsidP="00C718A6">
      <w:pPr>
        <w:jc w:val="both"/>
        <w:rPr>
          <w:color w:val="1F497D"/>
          <w:sz w:val="12"/>
          <w:szCs w:val="12"/>
        </w:rPr>
      </w:pPr>
    </w:p>
    <w:p w:rsidR="00090E27" w:rsidRDefault="00ED480F" w:rsidP="00C718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 college-ready benchmark</w:t>
      </w:r>
      <w:r w:rsidR="00F40414">
        <w:rPr>
          <w:rFonts w:ascii="Times New Roman" w:hAnsi="Times New Roman" w:cs="Times New Roman"/>
          <w:sz w:val="24"/>
          <w:szCs w:val="24"/>
        </w:rPr>
        <w:t xml:space="preserve">s </w:t>
      </w:r>
      <w:r w:rsidR="00090E27" w:rsidRPr="00090E27">
        <w:rPr>
          <w:rFonts w:ascii="Times New Roman" w:hAnsi="Times New Roman" w:cs="Times New Roman"/>
          <w:sz w:val="24"/>
          <w:szCs w:val="24"/>
        </w:rPr>
        <w:t>are set by the ACT</w:t>
      </w:r>
      <w:r w:rsidR="005F50C3">
        <w:rPr>
          <w:rFonts w:ascii="Times New Roman" w:hAnsi="Times New Roman" w:cs="Times New Roman"/>
          <w:sz w:val="24"/>
          <w:szCs w:val="24"/>
        </w:rPr>
        <w:t xml:space="preserve"> and </w:t>
      </w:r>
      <w:r w:rsidR="005F50C3" w:rsidRPr="00090E27">
        <w:rPr>
          <w:rFonts w:ascii="Times New Roman" w:hAnsi="Times New Roman" w:cs="Times New Roman"/>
          <w:sz w:val="24"/>
          <w:szCs w:val="24"/>
        </w:rPr>
        <w:t xml:space="preserve">College Board </w:t>
      </w:r>
      <w:r w:rsidR="005F50C3">
        <w:rPr>
          <w:rFonts w:ascii="Times New Roman" w:hAnsi="Times New Roman" w:cs="Times New Roman"/>
          <w:sz w:val="24"/>
          <w:szCs w:val="24"/>
        </w:rPr>
        <w:t>for the SAT</w:t>
      </w:r>
      <w:r w:rsidR="00090E27" w:rsidRPr="00090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80F" w:rsidRPr="00EF19D4" w:rsidRDefault="00ED480F" w:rsidP="00C718A6">
      <w:pPr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4B5C03" w:rsidRPr="004B5C03" w:rsidRDefault="004B5C03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 xml:space="preserve">For </w:t>
      </w:r>
      <w:r w:rsidR="003C71B8">
        <w:rPr>
          <w:rFonts w:ascii="Times New Roman" w:hAnsi="Times New Roman" w:cs="Times New Roman"/>
          <w:sz w:val="24"/>
          <w:szCs w:val="24"/>
        </w:rPr>
        <w:t xml:space="preserve">the </w:t>
      </w:r>
      <w:r w:rsidRPr="004B5C03">
        <w:rPr>
          <w:rFonts w:ascii="Times New Roman" w:hAnsi="Times New Roman" w:cs="Times New Roman"/>
          <w:sz w:val="24"/>
          <w:szCs w:val="24"/>
        </w:rPr>
        <w:t>2017</w:t>
      </w:r>
      <w:r w:rsidR="00B8798B">
        <w:rPr>
          <w:rFonts w:ascii="Times New Roman" w:hAnsi="Times New Roman" w:cs="Times New Roman"/>
          <w:sz w:val="24"/>
          <w:szCs w:val="24"/>
        </w:rPr>
        <w:t>-18 school year</w:t>
      </w:r>
      <w:r w:rsidRPr="004B5C03">
        <w:rPr>
          <w:rFonts w:ascii="Times New Roman" w:hAnsi="Times New Roman" w:cs="Times New Roman"/>
          <w:sz w:val="24"/>
          <w:szCs w:val="24"/>
        </w:rPr>
        <w:t>, the college-ready benchmarks are:</w:t>
      </w:r>
    </w:p>
    <w:p w:rsidR="004B5C03" w:rsidRPr="004B5C03" w:rsidRDefault="004B5C03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SAT:</w:t>
      </w:r>
      <w:r>
        <w:rPr>
          <w:rFonts w:ascii="Times New Roman" w:hAnsi="Times New Roman" w:cs="Times New Roman"/>
          <w:sz w:val="24"/>
          <w:szCs w:val="24"/>
        </w:rPr>
        <w:t xml:space="preserve"> 480 in </w:t>
      </w:r>
      <w:r w:rsidR="00DF03BD">
        <w:rPr>
          <w:rFonts w:ascii="Times New Roman" w:hAnsi="Times New Roman" w:cs="Times New Roman"/>
          <w:sz w:val="24"/>
          <w:szCs w:val="24"/>
        </w:rPr>
        <w:t>Evidence-Based Reading and Writing (ERW)</w:t>
      </w:r>
      <w:r>
        <w:rPr>
          <w:rFonts w:ascii="Times New Roman" w:hAnsi="Times New Roman" w:cs="Times New Roman"/>
          <w:sz w:val="24"/>
          <w:szCs w:val="24"/>
        </w:rPr>
        <w:t xml:space="preserve"> and 530 in Math</w:t>
      </w:r>
      <w:r w:rsidRPr="004B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03" w:rsidRPr="002129E1" w:rsidRDefault="004B5C03" w:rsidP="00D108E1">
      <w:pPr>
        <w:pStyle w:val="ListParagraph"/>
        <w:numPr>
          <w:ilvl w:val="0"/>
          <w:numId w:val="3"/>
        </w:numPr>
        <w:ind w:left="14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B5C03">
        <w:rPr>
          <w:rFonts w:ascii="Times New Roman" w:hAnsi="Times New Roman" w:cs="Times New Roman"/>
          <w:sz w:val="24"/>
          <w:szCs w:val="24"/>
        </w:rPr>
        <w:t>ACT: 18 in English, 22 in Reading,</w:t>
      </w:r>
      <w:r>
        <w:rPr>
          <w:rFonts w:ascii="Times New Roman" w:hAnsi="Times New Roman" w:cs="Times New Roman"/>
          <w:sz w:val="24"/>
          <w:szCs w:val="24"/>
        </w:rPr>
        <w:t xml:space="preserve"> 22 in Math, and 23 in Science</w:t>
      </w:r>
    </w:p>
    <w:p w:rsidR="00ED15B9" w:rsidRPr="00EF19D4" w:rsidRDefault="00ED15B9" w:rsidP="00C718A6">
      <w:pPr>
        <w:pStyle w:val="ListParagraph"/>
        <w:ind w:left="108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B8798B" w:rsidRDefault="00B8798B" w:rsidP="00C718A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College Board and ACT may change the college-ready benchmarks</w:t>
      </w:r>
      <w:r w:rsidR="00ED1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based on national trend data</w:t>
      </w:r>
      <w:r w:rsidRPr="00B87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5CB0" w:rsidRPr="00D8731D" w:rsidRDefault="00285CB0" w:rsidP="00C718A6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14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40414">
        <w:rPr>
          <w:rFonts w:ascii="Times New Roman" w:hAnsi="Times New Roman" w:cs="Times New Roman"/>
          <w:b/>
          <w:color w:val="0070C0"/>
          <w:sz w:val="28"/>
          <w:szCs w:val="28"/>
        </w:rPr>
        <w:t>What do</w:t>
      </w:r>
      <w:r w:rsidR="00F15B46">
        <w:rPr>
          <w:rFonts w:ascii="Times New Roman" w:hAnsi="Times New Roman" w:cs="Times New Roman"/>
          <w:b/>
          <w:color w:val="0070C0"/>
          <w:sz w:val="28"/>
          <w:szCs w:val="28"/>
        </w:rPr>
        <w:t>es</w:t>
      </w:r>
      <w:r w:rsidR="00F4041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‘college-ready benchmarks’ mean?</w:t>
      </w:r>
    </w:p>
    <w:p w:rsidR="00F40414" w:rsidRPr="00EF19D4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71F1F" w:rsidRPr="00B842B9" w:rsidRDefault="00271F1F" w:rsidP="00C718A6">
      <w:pPr>
        <w:tabs>
          <w:tab w:val="left" w:pos="117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42B9">
        <w:rPr>
          <w:rFonts w:ascii="Times New Roman" w:hAnsi="Times New Roman" w:cs="Times New Roman"/>
          <w:sz w:val="24"/>
          <w:szCs w:val="24"/>
        </w:rPr>
        <w:t xml:space="preserve">A: </w:t>
      </w:r>
      <w:r w:rsidR="00D8731D" w:rsidRPr="00B842B9">
        <w:rPr>
          <w:rFonts w:ascii="Times New Roman" w:hAnsi="Times New Roman" w:cs="Times New Roman"/>
          <w:sz w:val="24"/>
          <w:szCs w:val="24"/>
        </w:rPr>
        <w:t xml:space="preserve">College Board and ACT </w:t>
      </w:r>
      <w:r w:rsidR="00D8731D">
        <w:rPr>
          <w:rFonts w:ascii="Times New Roman" w:hAnsi="Times New Roman" w:cs="Times New Roman"/>
          <w:sz w:val="24"/>
          <w:szCs w:val="24"/>
        </w:rPr>
        <w:t xml:space="preserve">determined </w:t>
      </w:r>
      <w:r w:rsidRPr="00B842B9">
        <w:rPr>
          <w:rFonts w:ascii="Times New Roman" w:hAnsi="Times New Roman" w:cs="Times New Roman"/>
          <w:sz w:val="24"/>
          <w:szCs w:val="24"/>
        </w:rPr>
        <w:t>college-ready benchmarks based on national trend data of students</w:t>
      </w:r>
      <w:r w:rsidR="000704A2">
        <w:rPr>
          <w:rFonts w:ascii="Times New Roman" w:hAnsi="Times New Roman" w:cs="Times New Roman"/>
          <w:sz w:val="24"/>
          <w:szCs w:val="24"/>
        </w:rPr>
        <w:t>’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performance in college-level courses.  It is </w:t>
      </w:r>
      <w:r w:rsidR="00B37D34" w:rsidRPr="0078744A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</w:t>
      </w:r>
      <w:r w:rsidR="00B8798B">
        <w:rPr>
          <w:rFonts w:ascii="Times New Roman" w:hAnsi="Times New Roman" w:cs="Times New Roman"/>
          <w:sz w:val="24"/>
          <w:szCs w:val="24"/>
        </w:rPr>
        <w:t>related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</w:t>
      </w:r>
      <w:r w:rsidR="00B8798B">
        <w:rPr>
          <w:rFonts w:ascii="Times New Roman" w:hAnsi="Times New Roman" w:cs="Times New Roman"/>
          <w:sz w:val="24"/>
          <w:szCs w:val="24"/>
        </w:rPr>
        <w:t>to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the average performance of </w:t>
      </w:r>
      <w:r w:rsidR="00C2054B">
        <w:rPr>
          <w:rFonts w:ascii="Times New Roman" w:hAnsi="Times New Roman" w:cs="Times New Roman"/>
          <w:sz w:val="24"/>
          <w:szCs w:val="24"/>
        </w:rPr>
        <w:t>Indiana</w:t>
      </w:r>
      <w:r w:rsidR="00B37D34" w:rsidRPr="00B842B9">
        <w:rPr>
          <w:rFonts w:ascii="Times New Roman" w:hAnsi="Times New Roman" w:cs="Times New Roman"/>
          <w:sz w:val="24"/>
          <w:szCs w:val="24"/>
        </w:rPr>
        <w:t xml:space="preserve"> students on these assessments</w:t>
      </w:r>
      <w:r w:rsidR="00B8798B">
        <w:rPr>
          <w:rFonts w:ascii="Times New Roman" w:hAnsi="Times New Roman" w:cs="Times New Roman"/>
          <w:sz w:val="24"/>
          <w:szCs w:val="24"/>
        </w:rPr>
        <w:t xml:space="preserve"> or admissions requirements</w:t>
      </w:r>
      <w:r w:rsidR="00B37D34" w:rsidRPr="00B842B9">
        <w:rPr>
          <w:rFonts w:ascii="Times New Roman" w:hAnsi="Times New Roman" w:cs="Times New Roman"/>
          <w:sz w:val="24"/>
          <w:szCs w:val="24"/>
        </w:rPr>
        <w:t>.</w:t>
      </w:r>
    </w:p>
    <w:p w:rsidR="00B37D34" w:rsidRPr="00EF19D4" w:rsidRDefault="00B37D34" w:rsidP="00C718A6">
      <w:pPr>
        <w:tabs>
          <w:tab w:val="left" w:pos="117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B37D34" w:rsidRPr="00B842B9" w:rsidRDefault="00B37D34" w:rsidP="00C718A6">
      <w:pPr>
        <w:tabs>
          <w:tab w:val="left" w:pos="810"/>
          <w:tab w:val="left" w:pos="1080"/>
          <w:tab w:val="left" w:pos="11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42B9">
        <w:rPr>
          <w:rFonts w:ascii="Times New Roman" w:hAnsi="Times New Roman" w:cs="Times New Roman"/>
          <w:sz w:val="24"/>
          <w:szCs w:val="24"/>
        </w:rPr>
        <w:t>The SAT benchmark scores represent a 75% likelihood of a student achieving at least a C grade in a first-semester, credit-bearing college course in a related sub</w:t>
      </w:r>
      <w:r w:rsidR="000704A2">
        <w:rPr>
          <w:rFonts w:ascii="Times New Roman" w:hAnsi="Times New Roman" w:cs="Times New Roman"/>
          <w:sz w:val="24"/>
          <w:szCs w:val="24"/>
        </w:rPr>
        <w:t>ject (e.g., Algebra, S</w:t>
      </w:r>
      <w:r w:rsidRPr="00B842B9">
        <w:rPr>
          <w:rFonts w:ascii="Times New Roman" w:hAnsi="Times New Roman" w:cs="Times New Roman"/>
          <w:sz w:val="24"/>
          <w:szCs w:val="24"/>
        </w:rPr>
        <w:t xml:space="preserve">tatistics, </w:t>
      </w:r>
      <w:r w:rsidR="000704A2">
        <w:rPr>
          <w:rFonts w:ascii="Times New Roman" w:hAnsi="Times New Roman" w:cs="Times New Roman"/>
          <w:sz w:val="24"/>
          <w:szCs w:val="24"/>
        </w:rPr>
        <w:t>Pre-Calculus, Calculus, History, L</w:t>
      </w:r>
      <w:r w:rsidRPr="00B842B9">
        <w:rPr>
          <w:rFonts w:ascii="Times New Roman" w:hAnsi="Times New Roman" w:cs="Times New Roman"/>
          <w:sz w:val="24"/>
          <w:szCs w:val="24"/>
        </w:rPr>
        <w:t xml:space="preserve">iterature, </w:t>
      </w:r>
      <w:r w:rsidR="000704A2">
        <w:rPr>
          <w:rFonts w:ascii="Times New Roman" w:hAnsi="Times New Roman" w:cs="Times New Roman"/>
          <w:sz w:val="24"/>
          <w:szCs w:val="24"/>
        </w:rPr>
        <w:t>Social Science, or W</w:t>
      </w:r>
      <w:r w:rsidRPr="00B842B9">
        <w:rPr>
          <w:rFonts w:ascii="Times New Roman" w:hAnsi="Times New Roman" w:cs="Times New Roman"/>
          <w:sz w:val="24"/>
          <w:szCs w:val="24"/>
        </w:rPr>
        <w:t>riting).</w:t>
      </w:r>
    </w:p>
    <w:p w:rsidR="00B842B9" w:rsidRPr="00EF19D4" w:rsidRDefault="00B842B9" w:rsidP="00C718A6">
      <w:pPr>
        <w:tabs>
          <w:tab w:val="left" w:pos="1170"/>
        </w:tabs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p w:rsidR="00033F1D" w:rsidRPr="00033F1D" w:rsidRDefault="00033F1D" w:rsidP="00C718A6">
      <w:pPr>
        <w:tabs>
          <w:tab w:val="left" w:pos="11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3F1D">
        <w:rPr>
          <w:rFonts w:ascii="Times New Roman" w:hAnsi="Times New Roman" w:cs="Times New Roman"/>
          <w:sz w:val="24"/>
          <w:szCs w:val="24"/>
        </w:rPr>
        <w:t xml:space="preserve">The ACT </w:t>
      </w:r>
      <w:r w:rsidR="00D8731D">
        <w:rPr>
          <w:rFonts w:ascii="Times New Roman" w:hAnsi="Times New Roman" w:cs="Times New Roman"/>
          <w:sz w:val="24"/>
          <w:szCs w:val="24"/>
        </w:rPr>
        <w:t>benchmarks</w:t>
      </w:r>
      <w:r w:rsidRPr="00033F1D">
        <w:rPr>
          <w:rFonts w:ascii="Times New Roman" w:hAnsi="Times New Roman" w:cs="Times New Roman"/>
          <w:sz w:val="24"/>
          <w:szCs w:val="24"/>
        </w:rPr>
        <w:t xml:space="preserve"> </w:t>
      </w:r>
      <w:r w:rsidR="00285CB0">
        <w:rPr>
          <w:rFonts w:ascii="Times New Roman" w:hAnsi="Times New Roman" w:cs="Times New Roman"/>
          <w:sz w:val="24"/>
          <w:szCs w:val="24"/>
        </w:rPr>
        <w:t>represent</w:t>
      </w:r>
      <w:r w:rsidRPr="00033F1D">
        <w:rPr>
          <w:rFonts w:ascii="Times New Roman" w:hAnsi="Times New Roman" w:cs="Times New Roman"/>
          <w:sz w:val="24"/>
          <w:szCs w:val="24"/>
        </w:rPr>
        <w:t xml:space="preserve"> a 50% chance of obtaining a B or higher or about a 75% chance of obtaining a C or higher in the corresponding credit-bearing college courses, which include English Composition, Algebra, Social Science, Biology</w:t>
      </w:r>
      <w:r w:rsidR="00285CB0">
        <w:rPr>
          <w:rFonts w:ascii="Times New Roman" w:hAnsi="Times New Roman" w:cs="Times New Roman"/>
          <w:sz w:val="24"/>
          <w:szCs w:val="24"/>
        </w:rPr>
        <w:t>,</w:t>
      </w:r>
      <w:r w:rsidRPr="00033F1D">
        <w:rPr>
          <w:rFonts w:ascii="Times New Roman" w:hAnsi="Times New Roman" w:cs="Times New Roman"/>
          <w:sz w:val="24"/>
          <w:szCs w:val="24"/>
        </w:rPr>
        <w:t xml:space="preserve"> </w:t>
      </w:r>
      <w:r w:rsidR="0078744A">
        <w:rPr>
          <w:rFonts w:ascii="Times New Roman" w:hAnsi="Times New Roman" w:cs="Times New Roman"/>
          <w:sz w:val="24"/>
          <w:szCs w:val="24"/>
        </w:rPr>
        <w:t>Science, Technology, Engineering, and Mathematics</w:t>
      </w:r>
      <w:r w:rsidRPr="00033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8B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If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a student meets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</w:t>
      </w:r>
      <w:r w:rsidR="00E05C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college-ready 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benchmarks,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is there</w:t>
      </w:r>
      <w:r w:rsidR="00B879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guaranteed admission into a state four-year institution?</w:t>
      </w:r>
    </w:p>
    <w:p w:rsidR="00B8798B" w:rsidRPr="00EF19D4" w:rsidRDefault="00B8798B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B8798B" w:rsidRPr="00B8798B" w:rsidRDefault="00B8798B" w:rsidP="00C718A6">
      <w:p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8798B">
        <w:rPr>
          <w:rFonts w:ascii="Times New Roman" w:hAnsi="Times New Roman" w:cs="Times New Roman"/>
          <w:sz w:val="24"/>
          <w:szCs w:val="24"/>
        </w:rPr>
        <w:t xml:space="preserve">A: No. For additional information, please reference admissions criteria for </w:t>
      </w:r>
      <w:r w:rsidR="00033F1D">
        <w:rPr>
          <w:rFonts w:ascii="Times New Roman" w:hAnsi="Times New Roman" w:cs="Times New Roman"/>
          <w:sz w:val="24"/>
          <w:szCs w:val="24"/>
        </w:rPr>
        <w:t>an</w:t>
      </w:r>
      <w:r w:rsidRPr="00B8798B">
        <w:rPr>
          <w:rFonts w:ascii="Times New Roman" w:hAnsi="Times New Roman" w:cs="Times New Roman"/>
          <w:sz w:val="24"/>
          <w:szCs w:val="24"/>
        </w:rPr>
        <w:t xml:space="preserve"> individual institution.</w:t>
      </w:r>
    </w:p>
    <w:p w:rsidR="00B8798B" w:rsidRPr="00D8731D" w:rsidRDefault="00B8798B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480F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Do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es a student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need to earn the </w:t>
      </w:r>
      <w:r w:rsidR="00DF03BD">
        <w:rPr>
          <w:rFonts w:ascii="Times New Roman" w:hAnsi="Times New Roman" w:cs="Times New Roman"/>
          <w:b/>
          <w:color w:val="0070C0"/>
          <w:sz w:val="28"/>
          <w:szCs w:val="28"/>
        </w:rPr>
        <w:t>combined SAT ERW/Math score or the individual benchmarks for each section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ED480F" w:rsidRPr="00EF19D4" w:rsidRDefault="00ED480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D480F" w:rsidRPr="00ED480F" w:rsidRDefault="00ED480F" w:rsidP="00932851">
      <w:pPr>
        <w:ind w:left="1080" w:hanging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C2054B" w:rsidRPr="00C2054B">
        <w:rPr>
          <w:rFonts w:ascii="Times New Roman" w:hAnsi="Times New Roman" w:cs="Times New Roman"/>
          <w:sz w:val="24"/>
          <w:szCs w:val="24"/>
        </w:rPr>
        <w:t xml:space="preserve">If the student intends to use </w:t>
      </w:r>
      <w:r w:rsidR="00C2054B">
        <w:rPr>
          <w:rFonts w:ascii="Times New Roman" w:hAnsi="Times New Roman" w:cs="Times New Roman"/>
          <w:sz w:val="24"/>
          <w:szCs w:val="24"/>
        </w:rPr>
        <w:t>his/her</w:t>
      </w:r>
      <w:r w:rsidR="00C2054B" w:rsidRPr="00C2054B">
        <w:rPr>
          <w:rFonts w:ascii="Times New Roman" w:hAnsi="Times New Roman" w:cs="Times New Roman"/>
          <w:sz w:val="24"/>
          <w:szCs w:val="24"/>
        </w:rPr>
        <w:t xml:space="preserve"> SAT score to meet the postsecondary-ready competencies of Graduation Pathways, a</w:t>
      </w:r>
      <w:r>
        <w:rPr>
          <w:rFonts w:ascii="Times New Roman" w:hAnsi="Times New Roman" w:cs="Times New Roman"/>
          <w:sz w:val="24"/>
          <w:szCs w:val="24"/>
        </w:rPr>
        <w:t xml:space="preserve"> student must earn the </w:t>
      </w:r>
      <w:r w:rsidR="00F15B46">
        <w:rPr>
          <w:rFonts w:ascii="Times New Roman" w:hAnsi="Times New Roman" w:cs="Times New Roman"/>
          <w:sz w:val="24"/>
          <w:szCs w:val="24"/>
        </w:rPr>
        <w:t xml:space="preserve">minimum </w:t>
      </w:r>
      <w:r w:rsidR="00DF03BD">
        <w:rPr>
          <w:rFonts w:ascii="Times New Roman" w:hAnsi="Times New Roman" w:cs="Times New Roman"/>
          <w:sz w:val="24"/>
          <w:szCs w:val="24"/>
          <w:u w:val="single"/>
        </w:rPr>
        <w:t>ERW</w:t>
      </w:r>
      <w:r w:rsidR="00DF03BD" w:rsidRPr="00DF03BD">
        <w:rPr>
          <w:rFonts w:ascii="Times New Roman" w:hAnsi="Times New Roman" w:cs="Times New Roman"/>
          <w:sz w:val="24"/>
          <w:szCs w:val="24"/>
        </w:rPr>
        <w:t xml:space="preserve"> and </w:t>
      </w:r>
      <w:r w:rsidR="00DF03BD">
        <w:rPr>
          <w:rFonts w:ascii="Times New Roman" w:hAnsi="Times New Roman" w:cs="Times New Roman"/>
          <w:sz w:val="24"/>
          <w:szCs w:val="24"/>
          <w:u w:val="single"/>
        </w:rPr>
        <w:t>Math scores</w:t>
      </w:r>
      <w:r>
        <w:rPr>
          <w:rFonts w:ascii="Times New Roman" w:hAnsi="Times New Roman" w:cs="Times New Roman"/>
          <w:sz w:val="24"/>
          <w:szCs w:val="24"/>
        </w:rPr>
        <w:t xml:space="preserve"> on the SAT</w:t>
      </w:r>
      <w:r w:rsidR="00DF03BD">
        <w:rPr>
          <w:rFonts w:ascii="Times New Roman" w:hAnsi="Times New Roman" w:cs="Times New Roman"/>
          <w:sz w:val="24"/>
          <w:szCs w:val="24"/>
        </w:rPr>
        <w:t xml:space="preserve"> to satisfy this requirement</w:t>
      </w:r>
      <w:r>
        <w:rPr>
          <w:rFonts w:ascii="Times New Roman" w:hAnsi="Times New Roman" w:cs="Times New Roman"/>
          <w:sz w:val="24"/>
          <w:szCs w:val="24"/>
        </w:rPr>
        <w:t xml:space="preserve">.  For </w:t>
      </w:r>
      <w:r w:rsidR="00DF03BD">
        <w:rPr>
          <w:rFonts w:ascii="Times New Roman" w:hAnsi="Times New Roman" w:cs="Times New Roman"/>
          <w:sz w:val="24"/>
          <w:szCs w:val="24"/>
        </w:rPr>
        <w:t>ERW</w:t>
      </w:r>
      <w:r>
        <w:rPr>
          <w:rFonts w:ascii="Times New Roman" w:hAnsi="Times New Roman" w:cs="Times New Roman"/>
          <w:sz w:val="24"/>
          <w:szCs w:val="24"/>
        </w:rPr>
        <w:t>, the score must be a minimum o</w:t>
      </w:r>
      <w:r w:rsidR="009A382F">
        <w:rPr>
          <w:rFonts w:ascii="Times New Roman" w:hAnsi="Times New Roman" w:cs="Times New Roman"/>
          <w:sz w:val="24"/>
          <w:szCs w:val="24"/>
        </w:rPr>
        <w:t>f</w:t>
      </w:r>
      <w:r w:rsidR="00DF03BD">
        <w:rPr>
          <w:rFonts w:ascii="Times New Roman" w:hAnsi="Times New Roman" w:cs="Times New Roman"/>
          <w:sz w:val="24"/>
          <w:szCs w:val="24"/>
        </w:rPr>
        <w:t xml:space="preserve"> 480; for M</w:t>
      </w:r>
      <w:r>
        <w:rPr>
          <w:rFonts w:ascii="Times New Roman" w:hAnsi="Times New Roman" w:cs="Times New Roman"/>
          <w:sz w:val="24"/>
          <w:szCs w:val="24"/>
        </w:rPr>
        <w:t>ath, the score must be minimum of 530.</w:t>
      </w:r>
    </w:p>
    <w:p w:rsidR="00F40414" w:rsidRPr="00D8731D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0DD2" w:rsidRDefault="00D70DD2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Do</w:t>
      </w:r>
      <w:r w:rsidR="006B40CC">
        <w:rPr>
          <w:rFonts w:ascii="Times New Roman" w:hAnsi="Times New Roman" w:cs="Times New Roman"/>
          <w:b/>
          <w:color w:val="0070C0"/>
          <w:sz w:val="28"/>
          <w:szCs w:val="28"/>
        </w:rPr>
        <w:t>es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the SAT or ACT allow for accommodations?</w:t>
      </w:r>
    </w:p>
    <w:p w:rsidR="00D70DD2" w:rsidRPr="00EF19D4" w:rsidRDefault="00D70DD2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85CB0" w:rsidRPr="00C3199F" w:rsidRDefault="00D70DD2" w:rsidP="00C3199F">
      <w:pPr>
        <w:ind w:left="990" w:hanging="270"/>
        <w:rPr>
          <w:rFonts w:ascii="Times New Roman" w:hAnsi="Times New Roman" w:cs="Times New Roman"/>
          <w:color w:val="FF0000"/>
          <w:sz w:val="24"/>
          <w:szCs w:val="24"/>
        </w:rPr>
      </w:pPr>
      <w:r w:rsidRPr="00C3199F">
        <w:rPr>
          <w:rFonts w:ascii="Times New Roman" w:hAnsi="Times New Roman" w:cs="Times New Roman"/>
          <w:sz w:val="24"/>
          <w:szCs w:val="24"/>
        </w:rPr>
        <w:t>A: Yes.</w:t>
      </w:r>
      <w:r w:rsidR="00033F1D" w:rsidRPr="00C3199F">
        <w:rPr>
          <w:rFonts w:ascii="Times New Roman" w:hAnsi="Times New Roman" w:cs="Times New Roman"/>
          <w:sz w:val="24"/>
          <w:szCs w:val="24"/>
        </w:rPr>
        <w:t xml:space="preserve">  Accommodations are worked out between the College Board or ACT and the individual student.</w:t>
      </w:r>
      <w:r w:rsidR="00285CB0" w:rsidRPr="00C3199F">
        <w:rPr>
          <w:rFonts w:ascii="Times New Roman" w:hAnsi="Times New Roman" w:cs="Times New Roman"/>
          <w:sz w:val="24"/>
          <w:szCs w:val="24"/>
        </w:rPr>
        <w:t xml:space="preserve">  Additional information about services for students with disabilities for the SAT can be found </w:t>
      </w:r>
      <w:hyperlink r:id="rId8" w:history="1">
        <w:r w:rsidR="00285CB0" w:rsidRPr="00C3199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85CB0" w:rsidRPr="00C3199F">
        <w:rPr>
          <w:rFonts w:ascii="Times New Roman" w:hAnsi="Times New Roman" w:cs="Times New Roman"/>
          <w:sz w:val="24"/>
          <w:szCs w:val="24"/>
        </w:rPr>
        <w:t xml:space="preserve"> and for the ACT </w:t>
      </w:r>
      <w:hyperlink r:id="rId9" w:history="1">
        <w:r w:rsidR="00285CB0" w:rsidRPr="00C3199F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285CB0" w:rsidRPr="00C3199F">
        <w:rPr>
          <w:rFonts w:ascii="Times New Roman" w:hAnsi="Times New Roman" w:cs="Times New Roman"/>
          <w:sz w:val="24"/>
          <w:szCs w:val="24"/>
        </w:rPr>
        <w:t>.</w:t>
      </w:r>
    </w:p>
    <w:p w:rsidR="00D70DD2" w:rsidRPr="00D8731D" w:rsidRDefault="00D70DD2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A7450" w:rsidRDefault="00F40414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What is an A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rmed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F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orces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ualification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est (AFQT)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score on the A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rmed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S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ervices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ocational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ptitude 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B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attery (ASVAB)</w:t>
      </w:r>
      <w:r w:rsidR="00DA7450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DA7450" w:rsidRPr="00EF19D4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8731D" w:rsidRDefault="00DA7450" w:rsidP="0078744A">
      <w:pPr>
        <w:shd w:val="clear" w:color="auto" w:fill="FFFFFF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ASVAB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with career information for various ci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 xml:space="preserve">vilian and military occupations.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ASVAB test scores are broken down by the individual sub-tests and composites of the sub-tests. One of the most critical </w:t>
      </w:r>
      <w:r w:rsidR="001F1CD3">
        <w:rPr>
          <w:rFonts w:ascii="Times New Roman" w:eastAsia="Times New Roman" w:hAnsi="Times New Roman" w:cs="Times New Roman"/>
          <w:sz w:val="24"/>
          <w:szCs w:val="24"/>
        </w:rPr>
        <w:t xml:space="preserve">aspects 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of these scores is the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AFQT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, which is used to determine if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a student is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qualified to join the military service. Each service determines the qualification AFQT score for enlisting.</w:t>
      </w:r>
      <w:r w:rsidR="0078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31D" w:rsidRPr="00D8731D" w:rsidRDefault="00D8731D" w:rsidP="0078744A">
      <w:pPr>
        <w:shd w:val="clear" w:color="auto" w:fill="FFFFFF"/>
        <w:ind w:left="1080" w:hanging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D480F" w:rsidRDefault="00DA7450" w:rsidP="00D8731D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The AFQT is comprised of </w:t>
      </w:r>
      <w:r w:rsidR="00285CB0">
        <w:rPr>
          <w:rFonts w:ascii="Times New Roman" w:eastAsia="Times New Roman" w:hAnsi="Times New Roman" w:cs="Times New Roman"/>
          <w:sz w:val="24"/>
          <w:szCs w:val="24"/>
        </w:rPr>
        <w:t>a student’s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test resu</w:t>
      </w:r>
      <w:r w:rsidR="00B8798B">
        <w:rPr>
          <w:rFonts w:ascii="Times New Roman" w:eastAsia="Times New Roman" w:hAnsi="Times New Roman" w:cs="Times New Roman"/>
          <w:sz w:val="24"/>
          <w:szCs w:val="24"/>
        </w:rPr>
        <w:t>lts in Arithmetic Reasoning, Math Knowledge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>, and Ve</w:t>
      </w:r>
      <w:r w:rsidR="00B8798B">
        <w:rPr>
          <w:rFonts w:ascii="Times New Roman" w:eastAsia="Times New Roman" w:hAnsi="Times New Roman" w:cs="Times New Roman"/>
          <w:sz w:val="24"/>
          <w:szCs w:val="24"/>
        </w:rPr>
        <w:t>rbal Composite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Verbal Comp</w:t>
      </w:r>
      <w:r w:rsidRPr="00B8798B">
        <w:rPr>
          <w:rFonts w:ascii="Times New Roman" w:eastAsia="Times New Roman" w:hAnsi="Times New Roman" w:cs="Times New Roman"/>
          <w:sz w:val="24"/>
          <w:szCs w:val="24"/>
        </w:rPr>
        <w:t>osite score is a combination of</w:t>
      </w:r>
      <w:r w:rsidRPr="00DA7450">
        <w:rPr>
          <w:rFonts w:ascii="Times New Roman" w:eastAsia="Times New Roman" w:hAnsi="Times New Roman" w:cs="Times New Roman"/>
          <w:sz w:val="24"/>
          <w:szCs w:val="24"/>
        </w:rPr>
        <w:t xml:space="preserve"> Word Knowledge and Paragraph Comprehension scores. </w:t>
      </w:r>
    </w:p>
    <w:p w:rsidR="00285CB0" w:rsidRPr="00D8731D" w:rsidRDefault="00285CB0" w:rsidP="00C718A6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80F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8A4ED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What are the </w:t>
      </w:r>
      <w:r w:rsidR="00ED480F">
        <w:rPr>
          <w:rFonts w:ascii="Times New Roman" w:hAnsi="Times New Roman" w:cs="Times New Roman"/>
          <w:b/>
          <w:color w:val="0070C0"/>
          <w:sz w:val="28"/>
          <w:szCs w:val="28"/>
        </w:rPr>
        <w:t>AFQT scores on the ASVAB?</w:t>
      </w:r>
    </w:p>
    <w:p w:rsidR="00DA7450" w:rsidRPr="00EF19D4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A7450" w:rsidRDefault="00DA7450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798B">
        <w:rPr>
          <w:rFonts w:ascii="Times New Roman" w:hAnsi="Times New Roman" w:cs="Times New Roman"/>
          <w:sz w:val="24"/>
          <w:szCs w:val="24"/>
        </w:rPr>
        <w:t xml:space="preserve">A: Each branch of the military has its own qualifying AFQT score.  </w:t>
      </w:r>
      <w:r w:rsidR="00B8798B">
        <w:rPr>
          <w:rFonts w:ascii="Times New Roman" w:hAnsi="Times New Roman" w:cs="Times New Roman"/>
          <w:sz w:val="24"/>
          <w:szCs w:val="24"/>
        </w:rPr>
        <w:t>For the 2017-18 school year, the scores are</w:t>
      </w:r>
      <w:r w:rsidRPr="00B8798B">
        <w:rPr>
          <w:rFonts w:ascii="Times New Roman" w:hAnsi="Times New Roman" w:cs="Times New Roman"/>
          <w:sz w:val="24"/>
          <w:szCs w:val="24"/>
        </w:rPr>
        <w:t>:</w:t>
      </w:r>
    </w:p>
    <w:p w:rsidR="0085738D" w:rsidRPr="00C90335" w:rsidRDefault="0085738D" w:rsidP="00C718A6">
      <w:pPr>
        <w:ind w:left="1080" w:hanging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6475" w:type="dxa"/>
        <w:jc w:val="center"/>
        <w:tblLook w:val="04A0" w:firstRow="1" w:lastRow="0" w:firstColumn="1" w:lastColumn="0" w:noHBand="0" w:noVBand="1"/>
      </w:tblPr>
      <w:tblGrid>
        <w:gridCol w:w="3415"/>
        <w:gridCol w:w="3060"/>
      </w:tblGrid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Army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Marines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Air Force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798B" w:rsidRPr="00B8798B" w:rsidTr="00DA7450">
        <w:trPr>
          <w:jc w:val="center"/>
        </w:trPr>
        <w:tc>
          <w:tcPr>
            <w:tcW w:w="3415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Coast Guard</w:t>
            </w:r>
          </w:p>
        </w:tc>
        <w:tc>
          <w:tcPr>
            <w:tcW w:w="3060" w:type="dxa"/>
          </w:tcPr>
          <w:p w:rsidR="00DA7450" w:rsidRPr="00B8798B" w:rsidRDefault="00DA7450" w:rsidP="00C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9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A7450" w:rsidRPr="00B8798B" w:rsidRDefault="00DA7450" w:rsidP="00C718A6">
      <w:pPr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scores are subject to change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FFFFF"/>
        </w:rPr>
        <w:t>by the military</w:t>
      </w:r>
      <w:r w:rsidRPr="00B87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08E1" w:rsidRDefault="00D108E1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731D" w:rsidRDefault="00D873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731D" w:rsidRDefault="00D8731D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29E1" w:rsidRDefault="00DA745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2129E1">
        <w:rPr>
          <w:rFonts w:ascii="Times New Roman" w:hAnsi="Times New Roman" w:cs="Times New Roman"/>
          <w:b/>
          <w:color w:val="0070C0"/>
          <w:sz w:val="28"/>
          <w:szCs w:val="28"/>
        </w:rPr>
        <w:t>Wh</w:t>
      </w:r>
      <w:r w:rsidR="000913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at </w:t>
      </w:r>
      <w:r w:rsidR="0078744A">
        <w:rPr>
          <w:rFonts w:ascii="Times New Roman" w:hAnsi="Times New Roman" w:cs="Times New Roman"/>
          <w:b/>
          <w:color w:val="0070C0"/>
          <w:sz w:val="28"/>
          <w:szCs w:val="28"/>
        </w:rPr>
        <w:t>are</w:t>
      </w:r>
      <w:r w:rsidR="0009139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state- and in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dustry-recognized credentials and certifications?</w:t>
      </w:r>
    </w:p>
    <w:p w:rsidR="00F15B46" w:rsidRPr="00EF19D4" w:rsidRDefault="00F15B46" w:rsidP="00C718A6">
      <w:pPr>
        <w:jc w:val="both"/>
        <w:rPr>
          <w:rFonts w:ascii="Times New Roman" w:hAnsi="Times New Roman" w:cs="Times New Roman"/>
          <w:color w:val="333333"/>
          <w:sz w:val="12"/>
          <w:szCs w:val="12"/>
          <w:shd w:val="clear" w:color="auto" w:fill="FEFEFE"/>
        </w:rPr>
      </w:pPr>
    </w:p>
    <w:p w:rsidR="002129E1" w:rsidRPr="00D60165" w:rsidRDefault="00D60165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A: 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>The State Board of Education defines indu</w:t>
      </w:r>
      <w:r w:rsidR="00B136A2">
        <w:rPr>
          <w:rFonts w:ascii="Times New Roman" w:hAnsi="Times New Roman" w:cs="Times New Roman"/>
          <w:sz w:val="24"/>
          <w:szCs w:val="24"/>
          <w:shd w:val="clear" w:color="auto" w:fill="FEFEFE"/>
        </w:rPr>
        <w:t>stry-recognized credentials as those credentials d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eveloped or supported by business and industry to verify student mastery of technical skills </w:t>
      </w:r>
      <w:r w:rsidR="00B136A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and 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competencies in an occupational area that aligns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with Indiana’s economic sectors.  It 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is approved by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EFEFE"/>
        </w:rPr>
        <w:t>Indiana’s</w:t>
      </w:r>
      <w:r w:rsidR="00F15B46"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Department of Workforce Development.</w:t>
      </w:r>
    </w:p>
    <w:p w:rsidR="00D60165" w:rsidRPr="00EF19D4" w:rsidRDefault="00D60165" w:rsidP="00C718A6">
      <w:pPr>
        <w:ind w:left="720"/>
        <w:jc w:val="both"/>
        <w:rPr>
          <w:rFonts w:ascii="Times New Roman" w:hAnsi="Times New Roman" w:cs="Times New Roman"/>
          <w:sz w:val="12"/>
          <w:szCs w:val="12"/>
          <w:shd w:val="clear" w:color="auto" w:fill="FEFEFE"/>
        </w:rPr>
      </w:pPr>
    </w:p>
    <w:p w:rsidR="00D60165" w:rsidRPr="00D60165" w:rsidRDefault="00D60165" w:rsidP="00C718A6">
      <w:p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The list of state- and industry-recognized credentials and certifications can be found </w:t>
      </w:r>
      <w:hyperlink r:id="rId10" w:history="1">
        <w:r w:rsidRPr="00D6016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EFEFE"/>
          </w:rPr>
          <w:t>here</w:t>
        </w:r>
      </w:hyperlink>
      <w:r w:rsidRPr="00D60165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F15B46" w:rsidRPr="00D8731D" w:rsidRDefault="00F15B46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382F" w:rsidRDefault="00285CB0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Q22</w:t>
      </w:r>
      <w:r w:rsidR="009A38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What </w:t>
      </w:r>
      <w:r w:rsidR="0078744A">
        <w:rPr>
          <w:rFonts w:ascii="Times New Roman" w:hAnsi="Times New Roman" w:cs="Times New Roman"/>
          <w:b/>
          <w:color w:val="0070C0"/>
          <w:sz w:val="28"/>
          <w:szCs w:val="28"/>
        </w:rPr>
        <w:t>are</w:t>
      </w:r>
      <w:r w:rsidR="009A382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state-, federal</w:t>
      </w:r>
      <w:r w:rsidR="00150D9C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9A382F">
        <w:rPr>
          <w:rFonts w:ascii="Times New Roman" w:hAnsi="Times New Roman" w:cs="Times New Roman"/>
          <w:b/>
          <w:color w:val="0070C0"/>
          <w:sz w:val="28"/>
          <w:szCs w:val="28"/>
        </w:rPr>
        <w:t>, and industry-recognized apprenticeships?</w:t>
      </w:r>
    </w:p>
    <w:p w:rsidR="009A382F" w:rsidRPr="00EF19D4" w:rsidRDefault="009A382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A382F" w:rsidRPr="00150D9C" w:rsidRDefault="002B2F40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9A382F" w:rsidRPr="00150D9C">
        <w:rPr>
          <w:rFonts w:ascii="Times New Roman" w:hAnsi="Times New Roman" w:cs="Times New Roman"/>
          <w:sz w:val="24"/>
          <w:szCs w:val="24"/>
        </w:rPr>
        <w:t>Apprenticeships are defined as intensive work-based learning experiences that provide a combination of on-the-job training and formal classroom instruction. They are intended to support progressive skill acquisition and lead to postsecondary credentials and, in some cases, degrees.</w:t>
      </w:r>
    </w:p>
    <w:p w:rsidR="009A382F" w:rsidRPr="00EF19D4" w:rsidRDefault="009A382F" w:rsidP="00C718A6">
      <w:pPr>
        <w:ind w:left="720"/>
        <w:jc w:val="both"/>
        <w:rPr>
          <w:sz w:val="12"/>
          <w:szCs w:val="12"/>
        </w:rPr>
      </w:pPr>
    </w:p>
    <w:p w:rsidR="00B136A2" w:rsidRDefault="00B136A2" w:rsidP="00C718A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 Department of Labor has a list of federally recognized </w:t>
      </w:r>
      <w:r w:rsidRPr="009A382F">
        <w:rPr>
          <w:rFonts w:ascii="Times New Roman" w:hAnsi="Times New Roman" w:cs="Times New Roman"/>
          <w:sz w:val="24"/>
          <w:szCs w:val="24"/>
        </w:rPr>
        <w:t>apprenticeships</w:t>
      </w:r>
      <w:r>
        <w:rPr>
          <w:rFonts w:ascii="Times New Roman" w:hAnsi="Times New Roman" w:cs="Times New Roman"/>
          <w:sz w:val="24"/>
          <w:szCs w:val="24"/>
        </w:rPr>
        <w:t xml:space="preserve">, which can be accessed </w:t>
      </w:r>
      <w:hyperlink r:id="rId11" w:history="1">
        <w:r w:rsidRPr="007162F1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A38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36A2" w:rsidRPr="00EF19D4" w:rsidRDefault="00B136A2" w:rsidP="00C718A6">
      <w:pPr>
        <w:ind w:left="720"/>
        <w:jc w:val="both"/>
        <w:rPr>
          <w:sz w:val="12"/>
          <w:szCs w:val="12"/>
        </w:rPr>
      </w:pPr>
    </w:p>
    <w:p w:rsidR="009A382F" w:rsidRDefault="009A382F" w:rsidP="00C718A6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Governor Holcomb recently announced his intention to create an Office of </w:t>
      </w:r>
      <w:r w:rsidR="00B136A2">
        <w:rPr>
          <w:rFonts w:ascii="Times New Roman" w:hAnsi="Times New Roman" w:cs="Times New Roman"/>
          <w:sz w:val="24"/>
          <w:szCs w:val="24"/>
        </w:rPr>
        <w:t xml:space="preserve">Work-Based Learning and </w:t>
      </w:r>
      <w:r>
        <w:rPr>
          <w:rFonts w:ascii="Times New Roman" w:hAnsi="Times New Roman" w:cs="Times New Roman"/>
          <w:sz w:val="24"/>
          <w:szCs w:val="24"/>
        </w:rPr>
        <w:t xml:space="preserve">Apprenticeship </w:t>
      </w:r>
      <w:r w:rsidR="00150D9C">
        <w:rPr>
          <w:rFonts w:ascii="Times New Roman" w:hAnsi="Times New Roman" w:cs="Times New Roman"/>
          <w:sz w:val="24"/>
          <w:szCs w:val="24"/>
        </w:rPr>
        <w:t xml:space="preserve">in his </w:t>
      </w:r>
      <w:hyperlink r:id="rId12" w:history="1">
        <w:r w:rsidR="00150D9C" w:rsidRPr="00150D9C">
          <w:rPr>
            <w:rStyle w:val="Hyperlink"/>
            <w:rFonts w:ascii="Times New Roman" w:hAnsi="Times New Roman" w:cs="Times New Roman"/>
            <w:sz w:val="24"/>
            <w:szCs w:val="24"/>
          </w:rPr>
          <w:t>Next Level</w:t>
        </w:r>
      </w:hyperlink>
      <w:r w:rsidR="00150D9C">
        <w:rPr>
          <w:rFonts w:ascii="Times New Roman" w:hAnsi="Times New Roman" w:cs="Times New Roman"/>
          <w:sz w:val="24"/>
          <w:szCs w:val="24"/>
        </w:rPr>
        <w:t xml:space="preserve"> agenda.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9C">
        <w:rPr>
          <w:rFonts w:ascii="Times New Roman" w:hAnsi="Times New Roman" w:cs="Times New Roman"/>
          <w:sz w:val="24"/>
          <w:szCs w:val="24"/>
        </w:rPr>
        <w:t xml:space="preserve">Once in place, this Office </w:t>
      </w:r>
      <w:r w:rsidR="0078744A">
        <w:rPr>
          <w:rFonts w:ascii="Times New Roman" w:hAnsi="Times New Roman" w:cs="Times New Roman"/>
          <w:sz w:val="24"/>
          <w:szCs w:val="24"/>
        </w:rPr>
        <w:t>would</w:t>
      </w:r>
      <w:r w:rsidR="00150D9C">
        <w:rPr>
          <w:rFonts w:ascii="Times New Roman" w:hAnsi="Times New Roman" w:cs="Times New Roman"/>
          <w:sz w:val="24"/>
          <w:szCs w:val="24"/>
        </w:rPr>
        <w:t xml:space="preserve"> establish state-recognized apprenticeships.</w:t>
      </w:r>
    </w:p>
    <w:p w:rsidR="00B8619F" w:rsidRDefault="00B8619F" w:rsidP="000B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809" w:rsidRDefault="002129E1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What is a C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>areer-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echnical 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>ducation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128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(CTE) </w:t>
      </w:r>
      <w:r w:rsidR="00F02809">
        <w:rPr>
          <w:rFonts w:ascii="Times New Roman" w:hAnsi="Times New Roman" w:cs="Times New Roman"/>
          <w:b/>
          <w:color w:val="0070C0"/>
          <w:sz w:val="28"/>
          <w:szCs w:val="28"/>
        </w:rPr>
        <w:t>concentrator?</w:t>
      </w:r>
    </w:p>
    <w:p w:rsidR="00271F1F" w:rsidRPr="00EF19D4" w:rsidRDefault="00271F1F" w:rsidP="00C718A6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271F1F" w:rsidRPr="00271F1F" w:rsidRDefault="00271F1F" w:rsidP="00C718A6">
      <w:pPr>
        <w:ind w:left="108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F1F">
        <w:rPr>
          <w:rFonts w:ascii="Times New Roman" w:hAnsi="Times New Roman" w:cs="Times New Roman"/>
          <w:sz w:val="24"/>
          <w:szCs w:val="24"/>
        </w:rPr>
        <w:t xml:space="preserve">A: </w:t>
      </w:r>
      <w:r w:rsidRPr="00271F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1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D8731D">
        <w:rPr>
          <w:rFonts w:ascii="Times New Roman" w:hAnsi="Times New Roman" w:cs="Times New Roman"/>
          <w:sz w:val="24"/>
          <w:szCs w:val="24"/>
          <w:shd w:val="clear" w:color="auto" w:fill="FFFFFF"/>
        </w:rPr>
        <w:t>CTE Concentrator</w:t>
      </w:r>
      <w:r w:rsidR="00086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</w:t>
      </w:r>
      <w:r w:rsidRPr="00271F1F">
        <w:rPr>
          <w:rFonts w:ascii="Times New Roman" w:hAnsi="Times New Roman" w:cs="Times New Roman"/>
          <w:sz w:val="24"/>
          <w:szCs w:val="24"/>
          <w:shd w:val="clear" w:color="auto" w:fill="FFFFFF"/>
        </w:rPr>
        <w:t>student who has earned at least six credits in CTE pathway courses in a state approved College and Career Pathway (Program of Study).</w:t>
      </w:r>
    </w:p>
    <w:p w:rsidR="00271F1F" w:rsidRPr="00EF19D4" w:rsidRDefault="00271F1F" w:rsidP="00C718A6">
      <w:pPr>
        <w:ind w:left="720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271F1F" w:rsidRPr="0078744A" w:rsidRDefault="00D70DD2" w:rsidP="0078744A">
      <w:pPr>
        <w:ind w:left="1080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B84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Indiana College and Career Pathways </w:t>
      </w:r>
      <w:r w:rsidR="00787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78744A" w:rsidRPr="00271F1F">
        <w:rPr>
          <w:rFonts w:ascii="Times New Roman" w:eastAsia="Times New Roman" w:hAnsi="Times New Roman" w:cs="Times New Roman"/>
          <w:sz w:val="24"/>
          <w:szCs w:val="24"/>
        </w:rPr>
        <w:t>defined as an aligned sequence of secondary and postsecondary courses</w:t>
      </w:r>
      <w:r w:rsidR="00787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They are </w:t>
      </w:r>
      <w:r w:rsidRPr="00B842B9">
        <w:rPr>
          <w:rFonts w:ascii="Times New Roman" w:hAnsi="Times New Roman" w:cs="Times New Roman"/>
          <w:sz w:val="24"/>
          <w:szCs w:val="24"/>
          <w:shd w:val="clear" w:color="auto" w:fill="FFFFFF"/>
        </w:rPr>
        <w:t>being developed with input from business and industry, secondary and postsecondary education, and the public. To view Indiana's Career Clusters and College &amp; Career Pathways, please click </w:t>
      </w:r>
      <w:hyperlink r:id="rId13" w:history="1">
        <w:r w:rsidRPr="00271F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here</w:t>
        </w:r>
      </w:hyperlink>
      <w:hyperlink r:id="rId14" w:history="1"/>
      <w:r w:rsidRPr="00271F1F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2356F7" w:rsidRPr="00D8731D" w:rsidRDefault="002356F7" w:rsidP="00C718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A382F" w:rsidRPr="004B7BD2" w:rsidRDefault="009A382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Are AP/I</w:t>
      </w:r>
      <w:r w:rsidR="0008654F">
        <w:rPr>
          <w:rFonts w:ascii="Times New Roman" w:hAnsi="Times New Roman" w:cs="Times New Roman"/>
          <w:b/>
          <w:color w:val="0070C0"/>
          <w:sz w:val="28"/>
          <w:szCs w:val="28"/>
        </w:rPr>
        <w:t>nternational Baccalaureate (IB)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/Dual Credit requirements fulfilled through course or credit completion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 </w:t>
      </w:r>
    </w:p>
    <w:p w:rsidR="009A382F" w:rsidRPr="00EF19D4" w:rsidRDefault="009A382F" w:rsidP="00C718A6">
      <w:pPr>
        <w:jc w:val="both"/>
        <w:rPr>
          <w:rStyle w:val="Hyperlink"/>
          <w:rFonts w:ascii="Times New Roman" w:hAnsi="Times New Roman" w:cs="Times New Roman"/>
          <w:sz w:val="12"/>
          <w:szCs w:val="12"/>
        </w:rPr>
      </w:pPr>
    </w:p>
    <w:p w:rsidR="009A382F" w:rsidRPr="00150D9C" w:rsidRDefault="00150D9C" w:rsidP="00472F51">
      <w:pPr>
        <w:ind w:left="108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0D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 student must take t</w:t>
      </w:r>
      <w:r w:rsidR="00D70DD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hree </w:t>
      </w:r>
      <w:r w:rsidR="00ED15B9" w:rsidRPr="007874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courses</w:t>
      </w:r>
      <w:r w:rsidR="00472F51" w:rsidRPr="007874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classes</w:t>
      </w:r>
      <w:r w:rsidR="000B75F5" w:rsidRPr="000B75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fulfill this </w:t>
      </w:r>
      <w:r w:rsidR="00C319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postsecondary-ready </w:t>
      </w:r>
      <w:r w:rsidR="000B75F5" w:rsidRPr="000B75F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option</w:t>
      </w:r>
      <w:r w:rsidR="00ED15B9" w:rsidRP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This </w:t>
      </w:r>
      <w:r w:rsidR="00C3199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option 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is </w:t>
      </w:r>
      <w:r w:rsidR="00ED15B9" w:rsidRPr="00ED15B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not</w:t>
      </w:r>
      <w:r w:rsidR="00ED15B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based on credits.</w:t>
      </w:r>
    </w:p>
    <w:p w:rsidR="00150D9C" w:rsidRDefault="00150D9C" w:rsidP="00C718A6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A382F" w:rsidRPr="004B7BD2" w:rsidRDefault="009A382F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For </w:t>
      </w:r>
      <w:r w:rsidR="00150D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the AP/IB/Dual Credit </w:t>
      </w:r>
      <w:r w:rsidR="000B75F5">
        <w:rPr>
          <w:rFonts w:ascii="Times New Roman" w:hAnsi="Times New Roman" w:cs="Times New Roman"/>
          <w:b/>
          <w:color w:val="0070C0"/>
          <w:sz w:val="28"/>
          <w:szCs w:val="28"/>
        </w:rPr>
        <w:t>option</w:t>
      </w:r>
      <w:r w:rsidR="00150D9C">
        <w:rPr>
          <w:rFonts w:ascii="Times New Roman" w:hAnsi="Times New Roman" w:cs="Times New Roman"/>
          <w:b/>
          <w:color w:val="0070C0"/>
          <w:sz w:val="28"/>
          <w:szCs w:val="28"/>
        </w:rPr>
        <w:t>, what is the difference between a course being in a core content area or as part of a defined curricular sequence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? </w:t>
      </w:r>
    </w:p>
    <w:p w:rsidR="009A382F" w:rsidRPr="00EF19D4" w:rsidRDefault="009A382F" w:rsidP="00C718A6">
      <w:pPr>
        <w:jc w:val="both"/>
        <w:rPr>
          <w:rStyle w:val="Hyperlink"/>
          <w:rFonts w:ascii="Times New Roman" w:hAnsi="Times New Roman" w:cs="Times New Roman"/>
          <w:sz w:val="12"/>
          <w:szCs w:val="12"/>
        </w:rPr>
      </w:pPr>
    </w:p>
    <w:p w:rsidR="008C1270" w:rsidRDefault="00542B62" w:rsidP="00C718A6">
      <w:pPr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A: 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If a student is taking AP/IB/Dual Credit courses</w:t>
      </w:r>
      <w:r w:rsid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as his/her Graduation Pathway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either:</w:t>
      </w:r>
    </w:p>
    <w:p w:rsidR="008C1270" w:rsidRPr="008C1270" w:rsidRDefault="008C1270" w:rsidP="00C718A6">
      <w:pPr>
        <w:pStyle w:val="ListParagraph"/>
        <w:numPr>
          <w:ilvl w:val="0"/>
          <w:numId w:val="10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O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ne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 the three courses must be in a core content area (e.g., English, </w:t>
      </w:r>
      <w:r w:rsidR="007874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Math, Science, or Social S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tudies) </w:t>
      </w:r>
    </w:p>
    <w:p w:rsidR="00ED15B9" w:rsidRPr="00EF19D4" w:rsidRDefault="00ED15B9" w:rsidP="00C718A6">
      <w:pPr>
        <w:ind w:left="99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EF19D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OR </w:t>
      </w:r>
    </w:p>
    <w:p w:rsidR="00D70DD2" w:rsidRPr="008C1270" w:rsidRDefault="008C1270" w:rsidP="00C718A6">
      <w:pPr>
        <w:pStyle w:val="ListParagraph"/>
        <w:numPr>
          <w:ilvl w:val="0"/>
          <w:numId w:val="10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ll </w:t>
      </w:r>
      <w:r w:rsidR="00ED15B9" w:rsidRPr="0078744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three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courses must be part of a define</w:t>
      </w: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ED15B9"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curricular sequence</w:t>
      </w: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 A defined curricular sequence of courses is based on the </w:t>
      </w:r>
      <w:r w:rsidRPr="008C1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Indiana College and Career </w:t>
      </w:r>
      <w:r w:rsidRPr="008C12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Pathways.  To view Indiana's Career Clusters and College &amp; Career Pathways, please click </w:t>
      </w:r>
      <w:hyperlink r:id="rId15" w:history="1">
        <w:r w:rsidRPr="008C12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here</w:t>
        </w:r>
      </w:hyperlink>
      <w:hyperlink r:id="rId16" w:history="1"/>
      <w:r w:rsidRPr="008C127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.</w:t>
      </w:r>
    </w:p>
    <w:p w:rsidR="00623C6D" w:rsidRDefault="00623C6D" w:rsidP="00C718A6">
      <w:pPr>
        <w:ind w:left="7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21E01" w:rsidRPr="004B7BD2" w:rsidRDefault="00C21E01" w:rsidP="00C21E0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 What are the parameters or criteria for the locally create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pathway option?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21E01" w:rsidRPr="00EF19D4" w:rsidRDefault="00C21E01" w:rsidP="00C21E01">
      <w:pPr>
        <w:jc w:val="both"/>
        <w:rPr>
          <w:rStyle w:val="Hyperlink"/>
          <w:rFonts w:ascii="Times New Roman" w:hAnsi="Times New Roman" w:cs="Times New Roman"/>
          <w:sz w:val="12"/>
          <w:szCs w:val="12"/>
        </w:rPr>
      </w:pPr>
    </w:p>
    <w:p w:rsidR="00C21E01" w:rsidRPr="008C1270" w:rsidRDefault="00C21E01" w:rsidP="00C21E01">
      <w:pPr>
        <w:ind w:left="1080" w:hanging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12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A: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State Board </w:t>
      </w:r>
      <w:r w:rsidR="000865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Education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 currently meeting with a number of stakeholder groups to gather input on a framework for the locally created pathway.  Guidance is forthcoming.</w:t>
      </w:r>
    </w:p>
    <w:p w:rsidR="00C21E01" w:rsidRPr="008C1270" w:rsidRDefault="00C21E01" w:rsidP="00C718A6">
      <w:pPr>
        <w:ind w:left="72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F92495" w:rsidRDefault="00F92495" w:rsidP="00F92495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Q</w:t>
      </w:r>
      <w:r w:rsidR="00285CB0"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What 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is the timeline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for 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approving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the locally create</w:t>
      </w:r>
      <w:r w:rsidR="00527DDE">
        <w:rPr>
          <w:rFonts w:ascii="Times New Roman" w:hAnsi="Times New Roman" w:cs="Times New Roman"/>
          <w:b/>
          <w:color w:val="0070C0"/>
          <w:sz w:val="28"/>
          <w:szCs w:val="28"/>
        </w:rPr>
        <w:t>d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pathway option?</w:t>
      </w:r>
      <w:r w:rsidRPr="004B7BD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D3BA0" w:rsidRPr="002D3BA0" w:rsidRDefault="002D3BA0" w:rsidP="00F92495">
      <w:pPr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94A64" w:rsidRDefault="00F92495" w:rsidP="00EF19D4">
      <w:p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 State Board of Education realizes the importance of the timeline for approval.  This timeline will be discussed during input sessions for the locally created pathway.  Guidance is forthcoming.</w:t>
      </w:r>
    </w:p>
    <w:p w:rsidR="00B7257B" w:rsidRDefault="00B7257B" w:rsidP="00EF19D4">
      <w:p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7257B" w:rsidRDefault="00B7257B" w:rsidP="00EF19D4">
      <w:p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994A64" w:rsidRDefault="00994A64" w:rsidP="00C71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64">
        <w:rPr>
          <w:rFonts w:ascii="Times New Roman" w:hAnsi="Times New Roman" w:cs="Times New Roman"/>
          <w:b/>
          <w:sz w:val="24"/>
          <w:szCs w:val="24"/>
        </w:rPr>
        <w:t>###</w:t>
      </w:r>
    </w:p>
    <w:p w:rsidR="00994A64" w:rsidRDefault="00994A64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A64" w:rsidRPr="00994A64" w:rsidRDefault="00994A64" w:rsidP="00C7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E27" w:rsidRPr="00E713D4" w:rsidRDefault="00090E27" w:rsidP="00C718A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090E27" w:rsidRPr="00E713D4" w:rsidSect="00D108E1">
      <w:headerReference w:type="default" r:id="rId17"/>
      <w:footerReference w:type="default" r:id="rId18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99" w:rsidRDefault="005B5D99" w:rsidP="005F50C3">
      <w:r>
        <w:separator/>
      </w:r>
    </w:p>
  </w:endnote>
  <w:endnote w:type="continuationSeparator" w:id="0">
    <w:p w:rsidR="005B5D99" w:rsidRDefault="005B5D99" w:rsidP="005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E1" w:rsidRPr="00784F67" w:rsidRDefault="00D108E1" w:rsidP="00D108E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4F67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E7BB1D" wp14:editId="2802286B">
              <wp:simplePos x="0" y="0"/>
              <wp:positionH relativeFrom="column">
                <wp:posOffset>-431165</wp:posOffset>
              </wp:positionH>
              <wp:positionV relativeFrom="paragraph">
                <wp:posOffset>53339</wp:posOffset>
              </wp:positionV>
              <wp:extent cx="70485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AFF2F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95pt,4.2pt" to="521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" strokecolor="windowText" strokeweight="1.5pt">
              <v:stroke joinstyle="miter"/>
              <o:lock v:ext="edit" shapetype="f"/>
            </v:line>
          </w:pict>
        </mc:Fallback>
      </mc:AlternateContent>
    </w:r>
  </w:p>
  <w:p w:rsidR="00D108E1" w:rsidRPr="00784F67" w:rsidRDefault="00D108E1" w:rsidP="00D108E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4F67">
      <w:rPr>
        <w:rFonts w:ascii="Times New Roman" w:hAnsi="Times New Roman" w:cs="Times New Roman"/>
        <w:sz w:val="20"/>
        <w:szCs w:val="20"/>
      </w:rPr>
      <w:t>▪ 143 W. Market Street, Suite 500 ▪ Indianapolis, Indiana 46204 ▪</w:t>
    </w:r>
  </w:p>
  <w:p w:rsidR="00D108E1" w:rsidRPr="00784F67" w:rsidRDefault="00D108E1" w:rsidP="00D108E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84F67">
      <w:rPr>
        <w:rFonts w:ascii="Times New Roman" w:hAnsi="Times New Roman" w:cs="Times New Roman"/>
        <w:sz w:val="20"/>
        <w:szCs w:val="20"/>
      </w:rPr>
      <w:t>▪ (317) 232-2000 ▪ www.in.gov/sboe ▪</w:t>
    </w:r>
  </w:p>
  <w:sdt>
    <w:sdtPr>
      <w:rPr>
        <w:rFonts w:ascii="Times New Roman" w:hAnsi="Times New Roman" w:cs="Times New Roman"/>
        <w:sz w:val="24"/>
        <w:szCs w:val="24"/>
      </w:rPr>
      <w:id w:val="43086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0C3" w:rsidRPr="005F50C3" w:rsidRDefault="005F50C3" w:rsidP="005F50C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50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0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0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3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50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99" w:rsidRDefault="005B5D99" w:rsidP="005F50C3">
      <w:r>
        <w:separator/>
      </w:r>
    </w:p>
  </w:footnote>
  <w:footnote w:type="continuationSeparator" w:id="0">
    <w:p w:rsidR="005B5D99" w:rsidRDefault="005B5D99" w:rsidP="005F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E1" w:rsidRDefault="00D108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5D67C95" wp14:editId="70763C5D">
          <wp:simplePos x="0" y="0"/>
          <wp:positionH relativeFrom="page">
            <wp:posOffset>918406</wp:posOffset>
          </wp:positionH>
          <wp:positionV relativeFrom="page">
            <wp:posOffset>25400</wp:posOffset>
          </wp:positionV>
          <wp:extent cx="5896610" cy="878802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6610" cy="878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0C5"/>
    <w:multiLevelType w:val="hybridMultilevel"/>
    <w:tmpl w:val="EDA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84A"/>
    <w:multiLevelType w:val="hybridMultilevel"/>
    <w:tmpl w:val="05EED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1175A1"/>
    <w:multiLevelType w:val="hybridMultilevel"/>
    <w:tmpl w:val="D3F8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7F34"/>
    <w:multiLevelType w:val="hybridMultilevel"/>
    <w:tmpl w:val="9A1487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3937176"/>
    <w:multiLevelType w:val="hybridMultilevel"/>
    <w:tmpl w:val="00063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845FE4"/>
    <w:multiLevelType w:val="multilevel"/>
    <w:tmpl w:val="FD1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4B3"/>
    <w:multiLevelType w:val="hybridMultilevel"/>
    <w:tmpl w:val="3A5A13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B275FBE"/>
    <w:multiLevelType w:val="hybridMultilevel"/>
    <w:tmpl w:val="F9D8849C"/>
    <w:lvl w:ilvl="0" w:tplc="E8906CC4">
      <w:start w:val="1"/>
      <w:numFmt w:val="upperRoman"/>
      <w:lvlText w:val="%1."/>
      <w:lvlJc w:val="left"/>
      <w:pPr>
        <w:ind w:left="810" w:hanging="720"/>
      </w:pPr>
      <w:rPr>
        <w:rFonts w:hint="default"/>
        <w:b w:val="0"/>
        <w:u w:val="none"/>
      </w:rPr>
    </w:lvl>
    <w:lvl w:ilvl="1" w:tplc="C026E544">
      <w:start w:val="1"/>
      <w:numFmt w:val="upperLetter"/>
      <w:lvlText w:val="%2."/>
      <w:lvlJc w:val="left"/>
      <w:pPr>
        <w:ind w:left="135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3D82747"/>
    <w:multiLevelType w:val="hybridMultilevel"/>
    <w:tmpl w:val="C3788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36C30"/>
    <w:multiLevelType w:val="hybridMultilevel"/>
    <w:tmpl w:val="8E2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6D"/>
    <w:rsid w:val="00013FC8"/>
    <w:rsid w:val="00033F1D"/>
    <w:rsid w:val="0003579F"/>
    <w:rsid w:val="000411EE"/>
    <w:rsid w:val="000704A2"/>
    <w:rsid w:val="00080176"/>
    <w:rsid w:val="0008654F"/>
    <w:rsid w:val="00090E27"/>
    <w:rsid w:val="0009139D"/>
    <w:rsid w:val="000A5610"/>
    <w:rsid w:val="000B75F5"/>
    <w:rsid w:val="00150D9C"/>
    <w:rsid w:val="001A5639"/>
    <w:rsid w:val="001B7898"/>
    <w:rsid w:val="001D6677"/>
    <w:rsid w:val="001F1CD3"/>
    <w:rsid w:val="0020468C"/>
    <w:rsid w:val="002129E1"/>
    <w:rsid w:val="002356F7"/>
    <w:rsid w:val="00271F1F"/>
    <w:rsid w:val="00285CB0"/>
    <w:rsid w:val="002B2F40"/>
    <w:rsid w:val="002D3BA0"/>
    <w:rsid w:val="002F582D"/>
    <w:rsid w:val="003201AA"/>
    <w:rsid w:val="003405F9"/>
    <w:rsid w:val="003C5CDE"/>
    <w:rsid w:val="003C71B8"/>
    <w:rsid w:val="003D78FE"/>
    <w:rsid w:val="003E416A"/>
    <w:rsid w:val="003E7257"/>
    <w:rsid w:val="00423D11"/>
    <w:rsid w:val="004242E3"/>
    <w:rsid w:val="00457B18"/>
    <w:rsid w:val="00472F51"/>
    <w:rsid w:val="004B5C03"/>
    <w:rsid w:val="004B7BD2"/>
    <w:rsid w:val="00527102"/>
    <w:rsid w:val="00527DDE"/>
    <w:rsid w:val="00542931"/>
    <w:rsid w:val="00542B62"/>
    <w:rsid w:val="0054327B"/>
    <w:rsid w:val="005B5D99"/>
    <w:rsid w:val="005D15F0"/>
    <w:rsid w:val="005F50C3"/>
    <w:rsid w:val="00623C6D"/>
    <w:rsid w:val="00641B6B"/>
    <w:rsid w:val="006915AB"/>
    <w:rsid w:val="006B40CC"/>
    <w:rsid w:val="006B5BA0"/>
    <w:rsid w:val="007162F1"/>
    <w:rsid w:val="0078744A"/>
    <w:rsid w:val="007D0C42"/>
    <w:rsid w:val="00840D62"/>
    <w:rsid w:val="0085738D"/>
    <w:rsid w:val="008A3648"/>
    <w:rsid w:val="008A4ED0"/>
    <w:rsid w:val="008C1270"/>
    <w:rsid w:val="008C15CE"/>
    <w:rsid w:val="00932851"/>
    <w:rsid w:val="0095364F"/>
    <w:rsid w:val="00954994"/>
    <w:rsid w:val="00994A64"/>
    <w:rsid w:val="009A0259"/>
    <w:rsid w:val="009A382F"/>
    <w:rsid w:val="009E0D35"/>
    <w:rsid w:val="009F2BD9"/>
    <w:rsid w:val="00A94298"/>
    <w:rsid w:val="00B012E9"/>
    <w:rsid w:val="00B136A2"/>
    <w:rsid w:val="00B37D34"/>
    <w:rsid w:val="00B431A3"/>
    <w:rsid w:val="00B437FA"/>
    <w:rsid w:val="00B54A93"/>
    <w:rsid w:val="00B7257B"/>
    <w:rsid w:val="00B773BD"/>
    <w:rsid w:val="00B842B9"/>
    <w:rsid w:val="00B8619F"/>
    <w:rsid w:val="00B8798B"/>
    <w:rsid w:val="00BC18CE"/>
    <w:rsid w:val="00BE29E3"/>
    <w:rsid w:val="00C12834"/>
    <w:rsid w:val="00C2054B"/>
    <w:rsid w:val="00C21E01"/>
    <w:rsid w:val="00C3199F"/>
    <w:rsid w:val="00C644CF"/>
    <w:rsid w:val="00C718A6"/>
    <w:rsid w:val="00C737B2"/>
    <w:rsid w:val="00C90335"/>
    <w:rsid w:val="00CD2996"/>
    <w:rsid w:val="00CF3D74"/>
    <w:rsid w:val="00D108E1"/>
    <w:rsid w:val="00D475B9"/>
    <w:rsid w:val="00D60165"/>
    <w:rsid w:val="00D70DD2"/>
    <w:rsid w:val="00D8731D"/>
    <w:rsid w:val="00DA7450"/>
    <w:rsid w:val="00DC5D80"/>
    <w:rsid w:val="00DF03BD"/>
    <w:rsid w:val="00E05C1C"/>
    <w:rsid w:val="00E25C15"/>
    <w:rsid w:val="00E32EAF"/>
    <w:rsid w:val="00E713D4"/>
    <w:rsid w:val="00E71F5C"/>
    <w:rsid w:val="00E835A4"/>
    <w:rsid w:val="00ED15B9"/>
    <w:rsid w:val="00ED480F"/>
    <w:rsid w:val="00EF19D4"/>
    <w:rsid w:val="00F02809"/>
    <w:rsid w:val="00F15B46"/>
    <w:rsid w:val="00F208CA"/>
    <w:rsid w:val="00F30F3E"/>
    <w:rsid w:val="00F40414"/>
    <w:rsid w:val="00F90C7C"/>
    <w:rsid w:val="00F9249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D6945-AD50-4CE5-A220-5646209C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C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8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74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DA7450"/>
  </w:style>
  <w:style w:type="character" w:customStyle="1" w:styleId="desc">
    <w:name w:val="desc"/>
    <w:basedOn w:val="DefaultParagraphFont"/>
    <w:rsid w:val="00DA7450"/>
  </w:style>
  <w:style w:type="table" w:styleId="TableGrid">
    <w:name w:val="Table Grid"/>
    <w:basedOn w:val="TableNormal"/>
    <w:uiPriority w:val="39"/>
    <w:rsid w:val="00DA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1F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0C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C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C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162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6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458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board.org/students-with-disabilities" TargetMode="External"/><Relationship Id="rId13" Type="http://schemas.openxmlformats.org/officeDocument/2006/relationships/hyperlink" Target="https://www.doe.in.gov/cte/indiana-college-career-pathway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.gov/dwd/files/IN_Employability_Skills.pdf" TargetMode="External"/><Relationship Id="rId12" Type="http://schemas.openxmlformats.org/officeDocument/2006/relationships/hyperlink" Target="http://www.in.gov/gov/files/Final%20Agenda%20Handout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oe.in.gov/cte/indiana-college-career-pathway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.gov/sboe/files/IN%20Federal%20Apprenticeship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e.in.gov/cte/indiana-college-career-pathways" TargetMode="External"/><Relationship Id="rId10" Type="http://schemas.openxmlformats.org/officeDocument/2006/relationships/hyperlink" Target="https://www.in.gov/dwd/files/A-F_Industry_Certifications_List_for_2017-18_School_Year_Post%20(edited)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t.org/content/act/en/products-and-services/the-act-educator/accommodations.html" TargetMode="External"/><Relationship Id="rId14" Type="http://schemas.openxmlformats.org/officeDocument/2006/relationships/hyperlink" Target="https://www.doe.in.gov/cte/indiana-college-career-pathwa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Joshua</dc:creator>
  <cp:keywords/>
  <dc:description/>
  <cp:lastModifiedBy>Monica Schotter</cp:lastModifiedBy>
  <cp:revision>2</cp:revision>
  <cp:lastPrinted>2018-01-31T16:45:00Z</cp:lastPrinted>
  <dcterms:created xsi:type="dcterms:W3CDTF">2019-02-02T16:53:00Z</dcterms:created>
  <dcterms:modified xsi:type="dcterms:W3CDTF">2019-02-02T16:53:00Z</dcterms:modified>
</cp:coreProperties>
</file>